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3184" w14:textId="26F81E19" w:rsidR="006E588F" w:rsidRPr="001F6285" w:rsidRDefault="001A6A70" w:rsidP="001F6285">
      <w:pPr>
        <w:tabs>
          <w:tab w:val="right" w:pos="10080"/>
        </w:tabs>
        <w:rPr>
          <w:color w:val="C00000"/>
        </w:rPr>
      </w:pPr>
      <w:bookmarkStart w:id="0" w:name="_Toc229563394"/>
      <w:r>
        <w:rPr>
          <w:noProof/>
        </w:rPr>
        <w:drawing>
          <wp:inline distT="0" distB="0" distL="0" distR="0" wp14:anchorId="556CC7F3" wp14:editId="195031BB">
            <wp:extent cx="2656659" cy="1495425"/>
            <wp:effectExtent l="0" t="0" r="0" b="0"/>
            <wp:docPr id="1" name="Picture 1" descr="Image result for city of oro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6659" cy="1495425"/>
                    </a:xfrm>
                    <a:prstGeom prst="rect">
                      <a:avLst/>
                    </a:prstGeom>
                  </pic:spPr>
                </pic:pic>
              </a:graphicData>
            </a:graphic>
          </wp:inline>
        </w:drawing>
      </w:r>
    </w:p>
    <w:p w14:paraId="23B2D4AB" w14:textId="6DCBB0E5" w:rsidR="002B32A8" w:rsidRPr="003836D8" w:rsidRDefault="00CB401D" w:rsidP="00FB20B7">
      <w:pPr>
        <w:pStyle w:val="RSGBody"/>
        <w:rPr>
          <w:color w:val="FF0000"/>
          <w:highlight w:val="yellow"/>
        </w:rPr>
      </w:pPr>
      <w:r w:rsidRPr="001F6285">
        <w:rPr>
          <w:noProof/>
          <w:color w:val="C00000"/>
        </w:rPr>
        <mc:AlternateContent>
          <mc:Choice Requires="wps">
            <w:drawing>
              <wp:anchor distT="0" distB="0" distL="114300" distR="114300" simplePos="0" relativeHeight="251658240" behindDoc="0" locked="0" layoutInCell="1" allowOverlap="1" wp14:anchorId="3F8581FD" wp14:editId="2E185507">
                <wp:simplePos x="0" y="0"/>
                <wp:positionH relativeFrom="column">
                  <wp:posOffset>-12700</wp:posOffset>
                </wp:positionH>
                <wp:positionV relativeFrom="paragraph">
                  <wp:posOffset>283523</wp:posOffset>
                </wp:positionV>
                <wp:extent cx="6400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5"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f4520 [3209]" strokeweight=".5pt" from="-1pt,22.3pt" to="503pt,22.3pt" w14:anchorId="0AA8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">
                <v:stroke joinstyle="miter"/>
              </v:line>
            </w:pict>
          </mc:Fallback>
        </mc:AlternateContent>
      </w:r>
    </w:p>
    <w:p w14:paraId="1E9562B0" w14:textId="121CB30A" w:rsidR="00E27560" w:rsidRPr="003836D8" w:rsidRDefault="00E27560" w:rsidP="00E52D95">
      <w:pPr>
        <w:rPr>
          <w:color w:val="ED8B00" w:themeColor="accent5"/>
          <w:highlight w:val="yellow"/>
        </w:rPr>
      </w:pPr>
    </w:p>
    <w:p w14:paraId="63F7C71D" w14:textId="1883E528" w:rsidR="00076CB2" w:rsidRPr="003836D8" w:rsidRDefault="00A500C0" w:rsidP="008420FC">
      <w:pPr>
        <w:rPr>
          <w:rFonts w:ascii="Arial Black" w:hAnsi="Arial Black"/>
          <w:color w:val="ED8B00" w:themeColor="accent5"/>
          <w:sz w:val="32"/>
          <w:szCs w:val="32"/>
        </w:rPr>
      </w:pPr>
      <w:bookmarkStart w:id="1" w:name="_Toc367198053"/>
      <w:bookmarkStart w:id="2" w:name="_Toc367975025"/>
      <w:bookmarkStart w:id="3" w:name="_Toc399247598"/>
      <w:bookmarkStart w:id="4" w:name="_Toc404521043"/>
      <w:bookmarkStart w:id="5" w:name="_Toc404606652"/>
      <w:bookmarkStart w:id="6" w:name="_Toc405307570"/>
      <w:bookmarkStart w:id="7" w:name="_Toc462322555"/>
      <w:bookmarkEnd w:id="0"/>
      <w:r w:rsidRPr="003836D8">
        <w:rPr>
          <w:rFonts w:ascii="Arial Black" w:hAnsi="Arial Black"/>
          <w:noProof/>
          <w:color w:val="ED8B00" w:themeColor="accent5"/>
          <w:sz w:val="32"/>
          <w:szCs w:val="32"/>
        </w:rPr>
        <w:t xml:space="preserve">HOUSING SUCCESSOR </w:t>
      </w:r>
      <w:r w:rsidR="000879FF" w:rsidRPr="003836D8">
        <w:rPr>
          <w:rFonts w:ascii="Arial Black" w:hAnsi="Arial Black"/>
          <w:noProof/>
          <w:color w:val="ED8B00" w:themeColor="accent5"/>
          <w:sz w:val="32"/>
          <w:szCs w:val="32"/>
        </w:rPr>
        <w:t>ANNUAL REPORT</w:t>
      </w:r>
      <w:bookmarkEnd w:id="1"/>
      <w:bookmarkEnd w:id="2"/>
      <w:bookmarkEnd w:id="3"/>
      <w:bookmarkEnd w:id="4"/>
      <w:bookmarkEnd w:id="5"/>
      <w:bookmarkEnd w:id="6"/>
      <w:bookmarkEnd w:id="7"/>
    </w:p>
    <w:p w14:paraId="339E80D2" w14:textId="70A85C34" w:rsidR="00076CB2" w:rsidRPr="003836D8" w:rsidRDefault="00706461" w:rsidP="00C94EAC">
      <w:pPr>
        <w:rPr>
          <w:rFonts w:ascii="Arial Black" w:hAnsi="Arial Black"/>
          <w:color w:val="ED8B00" w:themeColor="accent5"/>
          <w:sz w:val="32"/>
          <w:szCs w:val="32"/>
        </w:rPr>
      </w:pPr>
      <w:bookmarkStart w:id="8" w:name="_Toc367198054"/>
      <w:bookmarkStart w:id="9" w:name="_Toc367975026"/>
      <w:bookmarkStart w:id="10" w:name="_Toc399247599"/>
      <w:bookmarkStart w:id="11" w:name="_Toc404521044"/>
      <w:bookmarkStart w:id="12" w:name="_Toc404606653"/>
      <w:bookmarkStart w:id="13" w:name="_Toc405307571"/>
      <w:bookmarkStart w:id="14" w:name="_Toc462322556"/>
      <w:r>
        <w:rPr>
          <w:rFonts w:ascii="Arial Black" w:hAnsi="Arial Black"/>
          <w:color w:val="ED8B00" w:themeColor="accent5"/>
          <w:sz w:val="32"/>
          <w:szCs w:val="32"/>
        </w:rPr>
        <w:t xml:space="preserve">City of </w:t>
      </w:r>
      <w:r w:rsidR="001A6A70">
        <w:rPr>
          <w:rFonts w:ascii="Arial Black" w:hAnsi="Arial Black"/>
          <w:color w:val="ED8B00" w:themeColor="accent5"/>
          <w:sz w:val="32"/>
          <w:szCs w:val="32"/>
        </w:rPr>
        <w:t>Oroville</w:t>
      </w:r>
      <w:r w:rsidR="00E27560" w:rsidRPr="003836D8">
        <w:rPr>
          <w:rFonts w:ascii="Arial Black" w:hAnsi="Arial Black"/>
          <w:color w:val="ED8B00" w:themeColor="accent5"/>
          <w:sz w:val="32"/>
          <w:szCs w:val="32"/>
        </w:rPr>
        <w:t xml:space="preserve"> </w:t>
      </w:r>
      <w:r w:rsidR="00AC544B">
        <w:rPr>
          <w:rFonts w:ascii="Arial Black" w:hAnsi="Arial Black"/>
          <w:color w:val="ED8B00" w:themeColor="accent5"/>
          <w:sz w:val="32"/>
          <w:szCs w:val="32"/>
        </w:rPr>
        <w:t>Housing Successor</w:t>
      </w:r>
      <w:bookmarkEnd w:id="8"/>
      <w:bookmarkEnd w:id="9"/>
      <w:bookmarkEnd w:id="10"/>
      <w:bookmarkEnd w:id="11"/>
      <w:bookmarkEnd w:id="12"/>
      <w:bookmarkEnd w:id="13"/>
      <w:bookmarkEnd w:id="14"/>
    </w:p>
    <w:p w14:paraId="62C0D799" w14:textId="656D047D" w:rsidR="00414FBB" w:rsidRPr="003836D8" w:rsidRDefault="00414FBB" w:rsidP="00E27560">
      <w:pPr>
        <w:rPr>
          <w:rFonts w:ascii="Arial Black" w:hAnsi="Arial Black"/>
          <w:color w:val="ED8B00" w:themeColor="accent5"/>
        </w:rPr>
      </w:pPr>
    </w:p>
    <w:p w14:paraId="1B1BE439" w14:textId="38BEE873" w:rsidR="00E27560" w:rsidRPr="003836D8" w:rsidRDefault="00C709C4" w:rsidP="00C709C4">
      <w:pPr>
        <w:tabs>
          <w:tab w:val="left" w:pos="7545"/>
        </w:tabs>
        <w:rPr>
          <w:rFonts w:ascii="Arial Black" w:hAnsi="Arial Black"/>
          <w:color w:val="ED8B00" w:themeColor="accent5"/>
        </w:rPr>
      </w:pPr>
      <w:bookmarkStart w:id="15" w:name="_Toc229563399"/>
      <w:r w:rsidRPr="003836D8">
        <w:rPr>
          <w:rFonts w:ascii="Arial Black" w:hAnsi="Arial Black"/>
          <w:color w:val="ED8B00" w:themeColor="accent5"/>
        </w:rPr>
        <w:tab/>
      </w:r>
    </w:p>
    <w:p w14:paraId="180F17CE" w14:textId="53B732EA" w:rsidR="00E27560" w:rsidRDefault="00E27560" w:rsidP="00C94EAC">
      <w:pPr>
        <w:rPr>
          <w:rFonts w:ascii="Arial Black" w:hAnsi="Arial Black"/>
          <w:color w:val="ED8B00" w:themeColor="accent5"/>
          <w:sz w:val="32"/>
          <w:szCs w:val="32"/>
        </w:rPr>
      </w:pPr>
      <w:bookmarkStart w:id="16" w:name="_Toc367198055"/>
      <w:bookmarkStart w:id="17" w:name="_Toc367975027"/>
      <w:bookmarkStart w:id="18" w:name="_Toc399247600"/>
      <w:bookmarkStart w:id="19" w:name="_Toc404521045"/>
      <w:bookmarkStart w:id="20" w:name="_Toc404606654"/>
      <w:bookmarkStart w:id="21" w:name="_Toc405307572"/>
      <w:bookmarkStart w:id="22" w:name="_Toc462322557"/>
      <w:r w:rsidRPr="003836D8">
        <w:rPr>
          <w:rFonts w:ascii="Arial Black" w:hAnsi="Arial Black"/>
          <w:color w:val="ED8B00" w:themeColor="accent5"/>
          <w:sz w:val="32"/>
          <w:szCs w:val="32"/>
        </w:rPr>
        <w:t>F</w:t>
      </w:r>
      <w:r w:rsidR="001F6285" w:rsidRPr="003836D8">
        <w:rPr>
          <w:rFonts w:ascii="Arial Black" w:hAnsi="Arial Black"/>
          <w:color w:val="ED8B00" w:themeColor="accent5"/>
          <w:sz w:val="32"/>
          <w:szCs w:val="32"/>
        </w:rPr>
        <w:t>iscal Year</w:t>
      </w:r>
      <w:r w:rsidRPr="003836D8">
        <w:rPr>
          <w:rFonts w:ascii="Arial Black" w:hAnsi="Arial Black"/>
          <w:color w:val="ED8B00" w:themeColor="accent5"/>
          <w:sz w:val="32"/>
          <w:szCs w:val="32"/>
        </w:rPr>
        <w:t xml:space="preserve"> </w:t>
      </w:r>
      <w:bookmarkEnd w:id="16"/>
      <w:bookmarkEnd w:id="17"/>
      <w:bookmarkEnd w:id="18"/>
      <w:bookmarkEnd w:id="19"/>
      <w:bookmarkEnd w:id="20"/>
      <w:bookmarkEnd w:id="21"/>
      <w:bookmarkEnd w:id="22"/>
      <w:r w:rsidR="00800A50">
        <w:rPr>
          <w:rFonts w:ascii="Arial Black" w:hAnsi="Arial Black"/>
          <w:color w:val="ED8B00" w:themeColor="accent5"/>
          <w:sz w:val="32"/>
          <w:szCs w:val="32"/>
        </w:rPr>
        <w:t>20</w:t>
      </w:r>
      <w:r w:rsidR="009363ED">
        <w:rPr>
          <w:rFonts w:ascii="Arial Black" w:hAnsi="Arial Black"/>
          <w:color w:val="ED8B00" w:themeColor="accent5"/>
          <w:sz w:val="32"/>
          <w:szCs w:val="32"/>
        </w:rPr>
        <w:t>22-23</w:t>
      </w:r>
    </w:p>
    <w:p w14:paraId="57E5ECA8" w14:textId="77777777" w:rsidR="00A90665" w:rsidRPr="003836D8" w:rsidRDefault="00A90665" w:rsidP="00A90665">
      <w:pPr>
        <w:jc w:val="right"/>
        <w:rPr>
          <w:rFonts w:ascii="Arial Black" w:hAnsi="Arial Black"/>
          <w:color w:val="ED8B00" w:themeColor="accent5"/>
          <w:sz w:val="32"/>
          <w:szCs w:val="32"/>
        </w:rPr>
      </w:pPr>
    </w:p>
    <w:bookmarkEnd w:id="15"/>
    <w:p w14:paraId="1610FD0D" w14:textId="798B4EA7" w:rsidR="00E27560" w:rsidRPr="00FB20B7" w:rsidRDefault="00A90665" w:rsidP="00E27560">
      <w:pPr>
        <w:rPr>
          <w:color w:val="FFFFFF" w:themeColor="background1"/>
          <w:highlight w:val="yellow"/>
        </w:rPr>
      </w:pPr>
      <w:r w:rsidRPr="001F6285">
        <w:rPr>
          <w:noProof/>
          <w:color w:val="C00000"/>
        </w:rPr>
        <mc:AlternateContent>
          <mc:Choice Requires="wps">
            <w:drawing>
              <wp:anchor distT="0" distB="0" distL="114300" distR="114300" simplePos="0" relativeHeight="251658242" behindDoc="0" locked="0" layoutInCell="1" allowOverlap="1" wp14:anchorId="0EC746E4" wp14:editId="0DF7548D">
                <wp:simplePos x="0" y="0"/>
                <wp:positionH relativeFrom="column">
                  <wp:posOffset>0</wp:posOffset>
                </wp:positionH>
                <wp:positionV relativeFrom="paragraph">
                  <wp:posOffset>0</wp:posOffset>
                </wp:positionV>
                <wp:extent cx="6400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7" style="position:absolute;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f4520 [3209]" strokeweight=".5pt" from="0,0" to="7in,0" w14:anchorId="594EA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">
                <v:stroke joinstyle="miter"/>
              </v:line>
            </w:pict>
          </mc:Fallback>
        </mc:AlternateContent>
      </w:r>
    </w:p>
    <w:p w14:paraId="58B2BB58" w14:textId="77777777" w:rsidR="000C490F" w:rsidRDefault="000C490F">
      <w:pPr>
        <w:rPr>
          <w:rFonts w:ascii="Arial Black" w:hAnsi="Arial Black"/>
          <w:caps/>
          <w:color w:val="FFFFFF" w:themeColor="background1"/>
          <w:spacing w:val="20"/>
          <w:kern w:val="28"/>
          <w:sz w:val="28"/>
          <w:szCs w:val="20"/>
        </w:rPr>
      </w:pPr>
      <w:bookmarkStart w:id="23" w:name="_Toc367198056"/>
      <w:bookmarkStart w:id="24" w:name="_Toc367975028"/>
      <w:bookmarkStart w:id="25" w:name="_Toc399247601"/>
      <w:bookmarkStart w:id="26" w:name="_Toc404521046"/>
      <w:bookmarkStart w:id="27" w:name="_Toc404606655"/>
      <w:bookmarkStart w:id="28" w:name="_Toc405307573"/>
      <w:bookmarkStart w:id="29" w:name="_Toc462322558"/>
      <w:bookmarkStart w:id="30" w:name="_Toc21043715"/>
      <w:bookmarkStart w:id="31" w:name="_Toc21342908"/>
      <w:bookmarkStart w:id="32" w:name="_Toc248213554"/>
      <w:bookmarkStart w:id="33" w:name="_Toc121555014"/>
      <w:r>
        <w:br w:type="page"/>
      </w:r>
    </w:p>
    <w:p w14:paraId="15E0D57F" w14:textId="51D7A3C6" w:rsidR="00E27560" w:rsidRPr="008420FC" w:rsidRDefault="00E27560" w:rsidP="008C1425">
      <w:pPr>
        <w:pStyle w:val="RSGHeading01"/>
        <w:outlineLvl w:val="9"/>
      </w:pPr>
      <w:r w:rsidRPr="008420FC">
        <w:lastRenderedPageBreak/>
        <w:t>Table of Contents</w:t>
      </w:r>
      <w:bookmarkEnd w:id="23"/>
      <w:bookmarkEnd w:id="24"/>
      <w:bookmarkEnd w:id="25"/>
      <w:bookmarkEnd w:id="26"/>
      <w:bookmarkEnd w:id="27"/>
      <w:bookmarkEnd w:id="28"/>
      <w:bookmarkEnd w:id="29"/>
      <w:bookmarkEnd w:id="30"/>
      <w:bookmarkEnd w:id="31"/>
    </w:p>
    <w:p w14:paraId="6D6B2ED1" w14:textId="77777777" w:rsidR="00E27560" w:rsidRPr="005F2841" w:rsidRDefault="00E27560" w:rsidP="00E27560">
      <w:pPr>
        <w:rPr>
          <w:highlight w:val="yellow"/>
        </w:rPr>
      </w:pPr>
    </w:p>
    <w:sdt>
      <w:sdtPr>
        <w:rPr>
          <w:highlight w:val="yellow"/>
        </w:rPr>
        <w:id w:val="435255823"/>
        <w:docPartObj>
          <w:docPartGallery w:val="Table of Contents"/>
          <w:docPartUnique/>
        </w:docPartObj>
      </w:sdtPr>
      <w:sdtEndPr/>
      <w:sdtContent>
        <w:p w14:paraId="0A197C15" w14:textId="49B3D565" w:rsidR="0088562F" w:rsidRDefault="00DC6B65">
          <w:pPr>
            <w:pStyle w:val="TOC1"/>
            <w:rPr>
              <w:rFonts w:asciiTheme="minorHAnsi" w:eastAsiaTheme="minorEastAsia" w:hAnsiTheme="minorHAnsi" w:cstheme="minorBidi"/>
              <w:b w:val="0"/>
              <w:bCs w:val="0"/>
              <w:caps w:val="0"/>
              <w:spacing w:val="0"/>
              <w:kern w:val="2"/>
              <w:sz w:val="24"/>
              <w14:ligatures w14:val="standardContextual"/>
            </w:rPr>
          </w:pPr>
          <w:r w:rsidRPr="003A49A7">
            <w:rPr>
              <w:highlight w:val="yellow"/>
            </w:rPr>
            <w:fldChar w:fldCharType="begin"/>
          </w:r>
          <w:r w:rsidRPr="003A49A7">
            <w:rPr>
              <w:highlight w:val="yellow"/>
            </w:rPr>
            <w:instrText xml:space="preserve"> TOC \o "1-3" \h \z \u </w:instrText>
          </w:r>
          <w:r w:rsidRPr="003A49A7">
            <w:rPr>
              <w:highlight w:val="yellow"/>
            </w:rPr>
            <w:fldChar w:fldCharType="separate"/>
          </w:r>
          <w:hyperlink w:anchor="_Toc160613151" w:history="1">
            <w:r w:rsidR="0088562F" w:rsidRPr="001E545F">
              <w:rPr>
                <w:rStyle w:val="Hyperlink"/>
              </w:rPr>
              <w:t>Introduction</w:t>
            </w:r>
            <w:r w:rsidR="0088562F">
              <w:rPr>
                <w:webHidden/>
              </w:rPr>
              <w:tab/>
            </w:r>
            <w:r w:rsidR="0088562F">
              <w:rPr>
                <w:webHidden/>
              </w:rPr>
              <w:fldChar w:fldCharType="begin"/>
            </w:r>
            <w:r w:rsidR="0088562F">
              <w:rPr>
                <w:webHidden/>
              </w:rPr>
              <w:instrText xml:space="preserve"> PAGEREF _Toc160613151 \h </w:instrText>
            </w:r>
            <w:r w:rsidR="0088562F">
              <w:rPr>
                <w:webHidden/>
              </w:rPr>
            </w:r>
            <w:r w:rsidR="0088562F">
              <w:rPr>
                <w:webHidden/>
              </w:rPr>
              <w:fldChar w:fldCharType="separate"/>
            </w:r>
            <w:r w:rsidR="006E0AB9">
              <w:rPr>
                <w:webHidden/>
              </w:rPr>
              <w:t>1</w:t>
            </w:r>
            <w:r w:rsidR="0088562F">
              <w:rPr>
                <w:webHidden/>
              </w:rPr>
              <w:fldChar w:fldCharType="end"/>
            </w:r>
          </w:hyperlink>
        </w:p>
        <w:p w14:paraId="0EB9E003" w14:textId="0A1B627C" w:rsidR="0088562F" w:rsidRDefault="006E0AB9">
          <w:pPr>
            <w:pStyle w:val="TOC2"/>
            <w:rPr>
              <w:rFonts w:asciiTheme="minorHAnsi" w:eastAsiaTheme="minorEastAsia" w:hAnsiTheme="minorHAnsi" w:cstheme="minorBidi"/>
              <w:kern w:val="2"/>
              <w:sz w:val="24"/>
              <w14:ligatures w14:val="standardContextual"/>
            </w:rPr>
          </w:pPr>
          <w:hyperlink w:anchor="_Toc160613152" w:history="1">
            <w:r w:rsidR="0088562F" w:rsidRPr="001E545F">
              <w:rPr>
                <w:rStyle w:val="Hyperlink"/>
              </w:rPr>
              <w:t>Housing Successor</w:t>
            </w:r>
            <w:r w:rsidR="0088562F">
              <w:rPr>
                <w:webHidden/>
              </w:rPr>
              <w:tab/>
            </w:r>
            <w:r w:rsidR="0088562F">
              <w:rPr>
                <w:webHidden/>
              </w:rPr>
              <w:fldChar w:fldCharType="begin"/>
            </w:r>
            <w:r w:rsidR="0088562F">
              <w:rPr>
                <w:webHidden/>
              </w:rPr>
              <w:instrText xml:space="preserve"> PAGEREF _Toc160613152 \h </w:instrText>
            </w:r>
            <w:r w:rsidR="0088562F">
              <w:rPr>
                <w:webHidden/>
              </w:rPr>
            </w:r>
            <w:r w:rsidR="0088562F">
              <w:rPr>
                <w:webHidden/>
              </w:rPr>
              <w:fldChar w:fldCharType="separate"/>
            </w:r>
            <w:r>
              <w:rPr>
                <w:webHidden/>
              </w:rPr>
              <w:t>1</w:t>
            </w:r>
            <w:r w:rsidR="0088562F">
              <w:rPr>
                <w:webHidden/>
              </w:rPr>
              <w:fldChar w:fldCharType="end"/>
            </w:r>
          </w:hyperlink>
        </w:p>
        <w:p w14:paraId="0BD39747" w14:textId="61C560CB" w:rsidR="0088562F" w:rsidRDefault="006E0AB9">
          <w:pPr>
            <w:pStyle w:val="TOC2"/>
            <w:rPr>
              <w:rFonts w:asciiTheme="minorHAnsi" w:eastAsiaTheme="minorEastAsia" w:hAnsiTheme="minorHAnsi" w:cstheme="minorBidi"/>
              <w:kern w:val="2"/>
              <w:sz w:val="24"/>
              <w14:ligatures w14:val="standardContextual"/>
            </w:rPr>
          </w:pPr>
          <w:hyperlink w:anchor="_Toc160613153" w:history="1">
            <w:r w:rsidR="0088562F" w:rsidRPr="001E545F">
              <w:rPr>
                <w:rStyle w:val="Hyperlink"/>
              </w:rPr>
              <w:t>Scope of This Housing Successor Annual Report</w:t>
            </w:r>
            <w:r w:rsidR="0088562F">
              <w:rPr>
                <w:webHidden/>
              </w:rPr>
              <w:tab/>
            </w:r>
            <w:r w:rsidR="0088562F">
              <w:rPr>
                <w:webHidden/>
              </w:rPr>
              <w:fldChar w:fldCharType="begin"/>
            </w:r>
            <w:r w:rsidR="0088562F">
              <w:rPr>
                <w:webHidden/>
              </w:rPr>
              <w:instrText xml:space="preserve"> PAGEREF _Toc160613153 \h </w:instrText>
            </w:r>
            <w:r w:rsidR="0088562F">
              <w:rPr>
                <w:webHidden/>
              </w:rPr>
            </w:r>
            <w:r w:rsidR="0088562F">
              <w:rPr>
                <w:webHidden/>
              </w:rPr>
              <w:fldChar w:fldCharType="separate"/>
            </w:r>
            <w:r>
              <w:rPr>
                <w:webHidden/>
              </w:rPr>
              <w:t>1</w:t>
            </w:r>
            <w:r w:rsidR="0088562F">
              <w:rPr>
                <w:webHidden/>
              </w:rPr>
              <w:fldChar w:fldCharType="end"/>
            </w:r>
          </w:hyperlink>
        </w:p>
        <w:p w14:paraId="4F5F3D82" w14:textId="0669C9B2" w:rsidR="0088562F" w:rsidRDefault="006E0AB9">
          <w:pPr>
            <w:pStyle w:val="TOC2"/>
            <w:rPr>
              <w:rFonts w:asciiTheme="minorHAnsi" w:eastAsiaTheme="minorEastAsia" w:hAnsiTheme="minorHAnsi" w:cstheme="minorBidi"/>
              <w:kern w:val="2"/>
              <w:sz w:val="24"/>
              <w14:ligatures w14:val="standardContextual"/>
            </w:rPr>
          </w:pPr>
          <w:hyperlink w:anchor="_Toc160613154" w:history="1">
            <w:r w:rsidR="0088562F" w:rsidRPr="001E545F">
              <w:rPr>
                <w:rStyle w:val="Hyperlink"/>
              </w:rPr>
              <w:t>Assets Transferred to the Housing Successor</w:t>
            </w:r>
            <w:r w:rsidR="0088562F">
              <w:rPr>
                <w:webHidden/>
              </w:rPr>
              <w:tab/>
            </w:r>
            <w:r w:rsidR="0088562F">
              <w:rPr>
                <w:webHidden/>
              </w:rPr>
              <w:fldChar w:fldCharType="begin"/>
            </w:r>
            <w:r w:rsidR="0088562F">
              <w:rPr>
                <w:webHidden/>
              </w:rPr>
              <w:instrText xml:space="preserve"> PAGEREF _Toc160613154 \h </w:instrText>
            </w:r>
            <w:r w:rsidR="0088562F">
              <w:rPr>
                <w:webHidden/>
              </w:rPr>
            </w:r>
            <w:r w:rsidR="0088562F">
              <w:rPr>
                <w:webHidden/>
              </w:rPr>
              <w:fldChar w:fldCharType="separate"/>
            </w:r>
            <w:r>
              <w:rPr>
                <w:webHidden/>
              </w:rPr>
              <w:t>1</w:t>
            </w:r>
            <w:r w:rsidR="0088562F">
              <w:rPr>
                <w:webHidden/>
              </w:rPr>
              <w:fldChar w:fldCharType="end"/>
            </w:r>
          </w:hyperlink>
        </w:p>
        <w:p w14:paraId="13C77F58" w14:textId="6B6CD83B" w:rsidR="0088562F" w:rsidRDefault="006E0AB9">
          <w:pPr>
            <w:pStyle w:val="TOC1"/>
            <w:rPr>
              <w:rFonts w:asciiTheme="minorHAnsi" w:eastAsiaTheme="minorEastAsia" w:hAnsiTheme="minorHAnsi" w:cstheme="minorBidi"/>
              <w:b w:val="0"/>
              <w:bCs w:val="0"/>
              <w:caps w:val="0"/>
              <w:spacing w:val="0"/>
              <w:kern w:val="2"/>
              <w:sz w:val="24"/>
              <w14:ligatures w14:val="standardContextual"/>
            </w:rPr>
          </w:pPr>
          <w:hyperlink w:anchor="_Toc160613155" w:history="1">
            <w:r w:rsidR="0088562F" w:rsidRPr="001E545F">
              <w:rPr>
                <w:rStyle w:val="Hyperlink"/>
              </w:rPr>
              <w:t>background</w:t>
            </w:r>
            <w:r w:rsidR="0088562F">
              <w:rPr>
                <w:webHidden/>
              </w:rPr>
              <w:tab/>
            </w:r>
            <w:r w:rsidR="0088562F">
              <w:rPr>
                <w:webHidden/>
              </w:rPr>
              <w:fldChar w:fldCharType="begin"/>
            </w:r>
            <w:r w:rsidR="0088562F">
              <w:rPr>
                <w:webHidden/>
              </w:rPr>
              <w:instrText xml:space="preserve"> PAGEREF _Toc160613155 \h </w:instrText>
            </w:r>
            <w:r w:rsidR="0088562F">
              <w:rPr>
                <w:webHidden/>
              </w:rPr>
            </w:r>
            <w:r w:rsidR="0088562F">
              <w:rPr>
                <w:webHidden/>
              </w:rPr>
              <w:fldChar w:fldCharType="separate"/>
            </w:r>
            <w:r>
              <w:rPr>
                <w:webHidden/>
              </w:rPr>
              <w:t>2</w:t>
            </w:r>
            <w:r w:rsidR="0088562F">
              <w:rPr>
                <w:webHidden/>
              </w:rPr>
              <w:fldChar w:fldCharType="end"/>
            </w:r>
          </w:hyperlink>
        </w:p>
        <w:p w14:paraId="676D01A6" w14:textId="06BBEDB7" w:rsidR="0088562F" w:rsidRDefault="006E0AB9">
          <w:pPr>
            <w:pStyle w:val="TOC2"/>
            <w:rPr>
              <w:rFonts w:asciiTheme="minorHAnsi" w:eastAsiaTheme="minorEastAsia" w:hAnsiTheme="minorHAnsi" w:cstheme="minorBidi"/>
              <w:kern w:val="2"/>
              <w:sz w:val="24"/>
              <w14:ligatures w14:val="standardContextual"/>
            </w:rPr>
          </w:pPr>
          <w:hyperlink w:anchor="_Toc160613156" w:history="1">
            <w:r w:rsidR="0088562F" w:rsidRPr="001E545F">
              <w:rPr>
                <w:rStyle w:val="Hyperlink"/>
              </w:rPr>
              <w:t>Legal Requirements About Housing Successors</w:t>
            </w:r>
            <w:r w:rsidR="0088562F">
              <w:rPr>
                <w:webHidden/>
              </w:rPr>
              <w:tab/>
            </w:r>
            <w:r w:rsidR="0088562F">
              <w:rPr>
                <w:webHidden/>
              </w:rPr>
              <w:fldChar w:fldCharType="begin"/>
            </w:r>
            <w:r w:rsidR="0088562F">
              <w:rPr>
                <w:webHidden/>
              </w:rPr>
              <w:instrText xml:space="preserve"> PAGEREF _Toc160613156 \h </w:instrText>
            </w:r>
            <w:r w:rsidR="0088562F">
              <w:rPr>
                <w:webHidden/>
              </w:rPr>
            </w:r>
            <w:r w:rsidR="0088562F">
              <w:rPr>
                <w:webHidden/>
              </w:rPr>
              <w:fldChar w:fldCharType="separate"/>
            </w:r>
            <w:r>
              <w:rPr>
                <w:webHidden/>
              </w:rPr>
              <w:t>2</w:t>
            </w:r>
            <w:r w:rsidR="0088562F">
              <w:rPr>
                <w:webHidden/>
              </w:rPr>
              <w:fldChar w:fldCharType="end"/>
            </w:r>
          </w:hyperlink>
        </w:p>
        <w:p w14:paraId="5BE51D5D" w14:textId="46BCCDFF" w:rsidR="0088562F" w:rsidRDefault="006E0AB9">
          <w:pPr>
            <w:pStyle w:val="TOC2"/>
            <w:rPr>
              <w:rFonts w:asciiTheme="minorHAnsi" w:eastAsiaTheme="minorEastAsia" w:hAnsiTheme="minorHAnsi" w:cstheme="minorBidi"/>
              <w:kern w:val="2"/>
              <w:sz w:val="24"/>
              <w14:ligatures w14:val="standardContextual"/>
            </w:rPr>
          </w:pPr>
          <w:hyperlink w:anchor="_Toc160613157" w:history="1">
            <w:r w:rsidR="0088562F" w:rsidRPr="001E545F">
              <w:rPr>
                <w:rStyle w:val="Hyperlink"/>
              </w:rPr>
              <w:t>Permitted Uses of Housing Asset Funds</w:t>
            </w:r>
            <w:r w:rsidR="0088562F">
              <w:rPr>
                <w:webHidden/>
              </w:rPr>
              <w:tab/>
            </w:r>
            <w:r w:rsidR="0088562F">
              <w:rPr>
                <w:webHidden/>
              </w:rPr>
              <w:fldChar w:fldCharType="begin"/>
            </w:r>
            <w:r w:rsidR="0088562F">
              <w:rPr>
                <w:webHidden/>
              </w:rPr>
              <w:instrText xml:space="preserve"> PAGEREF _Toc160613157 \h </w:instrText>
            </w:r>
            <w:r w:rsidR="0088562F">
              <w:rPr>
                <w:webHidden/>
              </w:rPr>
            </w:r>
            <w:r w:rsidR="0088562F">
              <w:rPr>
                <w:webHidden/>
              </w:rPr>
              <w:fldChar w:fldCharType="separate"/>
            </w:r>
            <w:r>
              <w:rPr>
                <w:webHidden/>
              </w:rPr>
              <w:t>3</w:t>
            </w:r>
            <w:r w:rsidR="0088562F">
              <w:rPr>
                <w:webHidden/>
              </w:rPr>
              <w:fldChar w:fldCharType="end"/>
            </w:r>
          </w:hyperlink>
        </w:p>
        <w:p w14:paraId="7FA44D60" w14:textId="71F25B5E" w:rsidR="0088562F" w:rsidRDefault="006E0AB9">
          <w:pPr>
            <w:pStyle w:val="TOC2"/>
            <w:rPr>
              <w:rFonts w:asciiTheme="minorHAnsi" w:eastAsiaTheme="minorEastAsia" w:hAnsiTheme="minorHAnsi" w:cstheme="minorBidi"/>
              <w:kern w:val="2"/>
              <w:sz w:val="24"/>
              <w14:ligatures w14:val="standardContextual"/>
            </w:rPr>
          </w:pPr>
          <w:hyperlink w:anchor="_Toc160613158" w:history="1">
            <w:r w:rsidR="0088562F" w:rsidRPr="001E545F">
              <w:rPr>
                <w:rStyle w:val="Hyperlink"/>
              </w:rPr>
              <w:t>Limits on the Accumulation of Housing Funds (Excess Surplus)</w:t>
            </w:r>
            <w:r w:rsidR="0088562F">
              <w:rPr>
                <w:webHidden/>
              </w:rPr>
              <w:tab/>
            </w:r>
            <w:r w:rsidR="0088562F">
              <w:rPr>
                <w:webHidden/>
              </w:rPr>
              <w:fldChar w:fldCharType="begin"/>
            </w:r>
            <w:r w:rsidR="0088562F">
              <w:rPr>
                <w:webHidden/>
              </w:rPr>
              <w:instrText xml:space="preserve"> PAGEREF _Toc160613158 \h </w:instrText>
            </w:r>
            <w:r w:rsidR="0088562F">
              <w:rPr>
                <w:webHidden/>
              </w:rPr>
            </w:r>
            <w:r w:rsidR="0088562F">
              <w:rPr>
                <w:webHidden/>
              </w:rPr>
              <w:fldChar w:fldCharType="separate"/>
            </w:r>
            <w:r>
              <w:rPr>
                <w:webHidden/>
              </w:rPr>
              <w:t>5</w:t>
            </w:r>
            <w:r w:rsidR="0088562F">
              <w:rPr>
                <w:webHidden/>
              </w:rPr>
              <w:fldChar w:fldCharType="end"/>
            </w:r>
          </w:hyperlink>
        </w:p>
        <w:p w14:paraId="5D395ED9" w14:textId="429100BC" w:rsidR="0088562F" w:rsidRDefault="006E0AB9">
          <w:pPr>
            <w:pStyle w:val="TOC1"/>
            <w:rPr>
              <w:rFonts w:asciiTheme="minorHAnsi" w:eastAsiaTheme="minorEastAsia" w:hAnsiTheme="minorHAnsi" w:cstheme="minorBidi"/>
              <w:b w:val="0"/>
              <w:bCs w:val="0"/>
              <w:caps w:val="0"/>
              <w:spacing w:val="0"/>
              <w:kern w:val="2"/>
              <w:sz w:val="24"/>
              <w14:ligatures w14:val="standardContextual"/>
            </w:rPr>
          </w:pPr>
          <w:hyperlink w:anchor="_Toc160613159" w:history="1">
            <w:r w:rsidR="0088562F" w:rsidRPr="001E545F">
              <w:rPr>
                <w:rStyle w:val="Hyperlink"/>
              </w:rPr>
              <w:t>Housing Asset Fund Activity</w:t>
            </w:r>
            <w:r w:rsidR="0088562F">
              <w:rPr>
                <w:webHidden/>
              </w:rPr>
              <w:tab/>
            </w:r>
            <w:r w:rsidR="0088562F">
              <w:rPr>
                <w:webHidden/>
              </w:rPr>
              <w:fldChar w:fldCharType="begin"/>
            </w:r>
            <w:r w:rsidR="0088562F">
              <w:rPr>
                <w:webHidden/>
              </w:rPr>
              <w:instrText xml:space="preserve"> PAGEREF _Toc160613159 \h </w:instrText>
            </w:r>
            <w:r w:rsidR="0088562F">
              <w:rPr>
                <w:webHidden/>
              </w:rPr>
            </w:r>
            <w:r w:rsidR="0088562F">
              <w:rPr>
                <w:webHidden/>
              </w:rPr>
              <w:fldChar w:fldCharType="separate"/>
            </w:r>
            <w:r>
              <w:rPr>
                <w:webHidden/>
              </w:rPr>
              <w:t>6</w:t>
            </w:r>
            <w:r w:rsidR="0088562F">
              <w:rPr>
                <w:webHidden/>
              </w:rPr>
              <w:fldChar w:fldCharType="end"/>
            </w:r>
          </w:hyperlink>
        </w:p>
        <w:p w14:paraId="7CF89826" w14:textId="62206E17" w:rsidR="0088562F" w:rsidRDefault="006E0AB9">
          <w:pPr>
            <w:pStyle w:val="TOC2"/>
            <w:rPr>
              <w:rFonts w:asciiTheme="minorHAnsi" w:eastAsiaTheme="minorEastAsia" w:hAnsiTheme="minorHAnsi" w:cstheme="minorBidi"/>
              <w:kern w:val="2"/>
              <w:sz w:val="24"/>
              <w14:ligatures w14:val="standardContextual"/>
            </w:rPr>
          </w:pPr>
          <w:hyperlink w:anchor="_Toc160613160" w:history="1">
            <w:r w:rsidR="0088562F" w:rsidRPr="001E545F">
              <w:rPr>
                <w:rStyle w:val="Hyperlink"/>
              </w:rPr>
              <w:t>Deposits and Fund Balance</w:t>
            </w:r>
            <w:r w:rsidR="0088562F">
              <w:rPr>
                <w:webHidden/>
              </w:rPr>
              <w:tab/>
            </w:r>
            <w:r w:rsidR="0088562F">
              <w:rPr>
                <w:webHidden/>
              </w:rPr>
              <w:fldChar w:fldCharType="begin"/>
            </w:r>
            <w:r w:rsidR="0088562F">
              <w:rPr>
                <w:webHidden/>
              </w:rPr>
              <w:instrText xml:space="preserve"> PAGEREF _Toc160613160 \h </w:instrText>
            </w:r>
            <w:r w:rsidR="0088562F">
              <w:rPr>
                <w:webHidden/>
              </w:rPr>
            </w:r>
            <w:r w:rsidR="0088562F">
              <w:rPr>
                <w:webHidden/>
              </w:rPr>
              <w:fldChar w:fldCharType="separate"/>
            </w:r>
            <w:r>
              <w:rPr>
                <w:webHidden/>
              </w:rPr>
              <w:t>6</w:t>
            </w:r>
            <w:r w:rsidR="0088562F">
              <w:rPr>
                <w:webHidden/>
              </w:rPr>
              <w:fldChar w:fldCharType="end"/>
            </w:r>
          </w:hyperlink>
        </w:p>
        <w:p w14:paraId="67F1EA88" w14:textId="6C8F2BD4" w:rsidR="0088562F" w:rsidRDefault="006E0AB9">
          <w:pPr>
            <w:pStyle w:val="TOC2"/>
            <w:rPr>
              <w:rFonts w:asciiTheme="minorHAnsi" w:eastAsiaTheme="minorEastAsia" w:hAnsiTheme="minorHAnsi" w:cstheme="minorBidi"/>
              <w:kern w:val="2"/>
              <w:sz w:val="24"/>
              <w14:ligatures w14:val="standardContextual"/>
            </w:rPr>
          </w:pPr>
          <w:hyperlink w:anchor="_Toc160613161" w:history="1">
            <w:r w:rsidR="0088562F" w:rsidRPr="001E545F">
              <w:rPr>
                <w:rStyle w:val="Hyperlink"/>
              </w:rPr>
              <w:t>Expenditures</w:t>
            </w:r>
            <w:r w:rsidR="0088562F">
              <w:rPr>
                <w:webHidden/>
              </w:rPr>
              <w:tab/>
            </w:r>
            <w:r w:rsidR="0088562F">
              <w:rPr>
                <w:webHidden/>
              </w:rPr>
              <w:fldChar w:fldCharType="begin"/>
            </w:r>
            <w:r w:rsidR="0088562F">
              <w:rPr>
                <w:webHidden/>
              </w:rPr>
              <w:instrText xml:space="preserve"> PAGEREF _Toc160613161 \h </w:instrText>
            </w:r>
            <w:r w:rsidR="0088562F">
              <w:rPr>
                <w:webHidden/>
              </w:rPr>
            </w:r>
            <w:r w:rsidR="0088562F">
              <w:rPr>
                <w:webHidden/>
              </w:rPr>
              <w:fldChar w:fldCharType="separate"/>
            </w:r>
            <w:r>
              <w:rPr>
                <w:webHidden/>
              </w:rPr>
              <w:t>7</w:t>
            </w:r>
            <w:r w:rsidR="0088562F">
              <w:rPr>
                <w:webHidden/>
              </w:rPr>
              <w:fldChar w:fldCharType="end"/>
            </w:r>
          </w:hyperlink>
        </w:p>
        <w:p w14:paraId="46BF3F7E" w14:textId="242045B2" w:rsidR="0088562F" w:rsidRDefault="006E0AB9">
          <w:pPr>
            <w:pStyle w:val="TOC2"/>
            <w:rPr>
              <w:rFonts w:asciiTheme="minorHAnsi" w:eastAsiaTheme="minorEastAsia" w:hAnsiTheme="minorHAnsi" w:cstheme="minorBidi"/>
              <w:kern w:val="2"/>
              <w:sz w:val="24"/>
              <w14:ligatures w14:val="standardContextual"/>
            </w:rPr>
          </w:pPr>
          <w:hyperlink w:anchor="_Toc160613162" w:history="1">
            <w:r w:rsidR="0088562F" w:rsidRPr="001E545F">
              <w:rPr>
                <w:rStyle w:val="Hyperlink"/>
              </w:rPr>
              <w:t>Ending Cash and Fund Balance</w:t>
            </w:r>
            <w:r w:rsidR="0088562F">
              <w:rPr>
                <w:webHidden/>
              </w:rPr>
              <w:tab/>
            </w:r>
            <w:r w:rsidR="0088562F">
              <w:rPr>
                <w:webHidden/>
              </w:rPr>
              <w:fldChar w:fldCharType="begin"/>
            </w:r>
            <w:r w:rsidR="0088562F">
              <w:rPr>
                <w:webHidden/>
              </w:rPr>
              <w:instrText xml:space="preserve"> PAGEREF _Toc160613162 \h </w:instrText>
            </w:r>
            <w:r w:rsidR="0088562F">
              <w:rPr>
                <w:webHidden/>
              </w:rPr>
            </w:r>
            <w:r w:rsidR="0088562F">
              <w:rPr>
                <w:webHidden/>
              </w:rPr>
              <w:fldChar w:fldCharType="separate"/>
            </w:r>
            <w:r>
              <w:rPr>
                <w:webHidden/>
              </w:rPr>
              <w:t>7</w:t>
            </w:r>
            <w:r w:rsidR="0088562F">
              <w:rPr>
                <w:webHidden/>
              </w:rPr>
              <w:fldChar w:fldCharType="end"/>
            </w:r>
          </w:hyperlink>
        </w:p>
        <w:p w14:paraId="31F3A7AE" w14:textId="7EE1017A" w:rsidR="0088562F" w:rsidRDefault="006E0AB9">
          <w:pPr>
            <w:pStyle w:val="TOC2"/>
            <w:rPr>
              <w:rFonts w:asciiTheme="minorHAnsi" w:eastAsiaTheme="minorEastAsia" w:hAnsiTheme="minorHAnsi" w:cstheme="minorBidi"/>
              <w:kern w:val="2"/>
              <w:sz w:val="24"/>
              <w14:ligatures w14:val="standardContextual"/>
            </w:rPr>
          </w:pPr>
          <w:hyperlink w:anchor="_Toc160613163" w:history="1">
            <w:r w:rsidR="0088562F" w:rsidRPr="001E545F">
              <w:rPr>
                <w:rStyle w:val="Hyperlink"/>
              </w:rPr>
              <w:t>Housing Successor Portfolio</w:t>
            </w:r>
            <w:r w:rsidR="0088562F">
              <w:rPr>
                <w:webHidden/>
              </w:rPr>
              <w:tab/>
            </w:r>
            <w:r w:rsidR="0088562F">
              <w:rPr>
                <w:webHidden/>
              </w:rPr>
              <w:fldChar w:fldCharType="begin"/>
            </w:r>
            <w:r w:rsidR="0088562F">
              <w:rPr>
                <w:webHidden/>
              </w:rPr>
              <w:instrText xml:space="preserve"> PAGEREF _Toc160613163 \h </w:instrText>
            </w:r>
            <w:r w:rsidR="0088562F">
              <w:rPr>
                <w:webHidden/>
              </w:rPr>
            </w:r>
            <w:r w:rsidR="0088562F">
              <w:rPr>
                <w:webHidden/>
              </w:rPr>
              <w:fldChar w:fldCharType="separate"/>
            </w:r>
            <w:r>
              <w:rPr>
                <w:webHidden/>
              </w:rPr>
              <w:t>7</w:t>
            </w:r>
            <w:r w:rsidR="0088562F">
              <w:rPr>
                <w:webHidden/>
              </w:rPr>
              <w:fldChar w:fldCharType="end"/>
            </w:r>
          </w:hyperlink>
        </w:p>
        <w:p w14:paraId="6B748F0E" w14:textId="12D49730" w:rsidR="0088562F" w:rsidRDefault="006E0AB9">
          <w:pPr>
            <w:pStyle w:val="TOC2"/>
            <w:rPr>
              <w:rFonts w:asciiTheme="minorHAnsi" w:eastAsiaTheme="minorEastAsia" w:hAnsiTheme="minorHAnsi" w:cstheme="minorBidi"/>
              <w:kern w:val="2"/>
              <w:sz w:val="24"/>
              <w14:ligatures w14:val="standardContextual"/>
            </w:rPr>
          </w:pPr>
          <w:hyperlink w:anchor="_Toc160613164" w:history="1">
            <w:r w:rsidR="0088562F" w:rsidRPr="001E545F">
              <w:rPr>
                <w:rStyle w:val="Hyperlink"/>
              </w:rPr>
              <w:t>Real Property and Disposition Status</w:t>
            </w:r>
            <w:r w:rsidR="0088562F">
              <w:rPr>
                <w:webHidden/>
              </w:rPr>
              <w:tab/>
            </w:r>
            <w:r w:rsidR="0088562F">
              <w:rPr>
                <w:webHidden/>
              </w:rPr>
              <w:fldChar w:fldCharType="begin"/>
            </w:r>
            <w:r w:rsidR="0088562F">
              <w:rPr>
                <w:webHidden/>
              </w:rPr>
              <w:instrText xml:space="preserve"> PAGEREF _Toc160613164 \h </w:instrText>
            </w:r>
            <w:r w:rsidR="0088562F">
              <w:rPr>
                <w:webHidden/>
              </w:rPr>
            </w:r>
            <w:r w:rsidR="0088562F">
              <w:rPr>
                <w:webHidden/>
              </w:rPr>
              <w:fldChar w:fldCharType="separate"/>
            </w:r>
            <w:r>
              <w:rPr>
                <w:webHidden/>
              </w:rPr>
              <w:t>8</w:t>
            </w:r>
            <w:r w:rsidR="0088562F">
              <w:rPr>
                <w:webHidden/>
              </w:rPr>
              <w:fldChar w:fldCharType="end"/>
            </w:r>
          </w:hyperlink>
        </w:p>
        <w:p w14:paraId="71A10BE9" w14:textId="4E813952" w:rsidR="0088562F" w:rsidRDefault="006E0AB9">
          <w:pPr>
            <w:pStyle w:val="TOC1"/>
            <w:rPr>
              <w:rFonts w:asciiTheme="minorHAnsi" w:eastAsiaTheme="minorEastAsia" w:hAnsiTheme="minorHAnsi" w:cstheme="minorBidi"/>
              <w:b w:val="0"/>
              <w:bCs w:val="0"/>
              <w:caps w:val="0"/>
              <w:spacing w:val="0"/>
              <w:kern w:val="2"/>
              <w:sz w:val="24"/>
              <w14:ligatures w14:val="standardContextual"/>
            </w:rPr>
          </w:pPr>
          <w:hyperlink w:anchor="_Toc160613165" w:history="1">
            <w:r w:rsidR="0088562F" w:rsidRPr="001E545F">
              <w:rPr>
                <w:rStyle w:val="Hyperlink"/>
              </w:rPr>
              <w:t>compliance with expenditures &amp; production limits</w:t>
            </w:r>
            <w:r w:rsidR="0088562F">
              <w:rPr>
                <w:webHidden/>
              </w:rPr>
              <w:tab/>
            </w:r>
            <w:r w:rsidR="0088562F">
              <w:rPr>
                <w:webHidden/>
              </w:rPr>
              <w:fldChar w:fldCharType="begin"/>
            </w:r>
            <w:r w:rsidR="0088562F">
              <w:rPr>
                <w:webHidden/>
              </w:rPr>
              <w:instrText xml:space="preserve"> PAGEREF _Toc160613165 \h </w:instrText>
            </w:r>
            <w:r w:rsidR="0088562F">
              <w:rPr>
                <w:webHidden/>
              </w:rPr>
            </w:r>
            <w:r w:rsidR="0088562F">
              <w:rPr>
                <w:webHidden/>
              </w:rPr>
              <w:fldChar w:fldCharType="separate"/>
            </w:r>
            <w:r>
              <w:rPr>
                <w:webHidden/>
              </w:rPr>
              <w:t>9</w:t>
            </w:r>
            <w:r w:rsidR="0088562F">
              <w:rPr>
                <w:webHidden/>
              </w:rPr>
              <w:fldChar w:fldCharType="end"/>
            </w:r>
          </w:hyperlink>
        </w:p>
        <w:p w14:paraId="4A52E533" w14:textId="40D54C2F" w:rsidR="0088562F" w:rsidRDefault="006E0AB9">
          <w:pPr>
            <w:pStyle w:val="TOC2"/>
            <w:rPr>
              <w:rFonts w:asciiTheme="minorHAnsi" w:eastAsiaTheme="minorEastAsia" w:hAnsiTheme="minorHAnsi" w:cstheme="minorBidi"/>
              <w:kern w:val="2"/>
              <w:sz w:val="24"/>
              <w14:ligatures w14:val="standardContextual"/>
            </w:rPr>
          </w:pPr>
          <w:hyperlink w:anchor="_Toc160613166" w:history="1">
            <w:r w:rsidR="0088562F" w:rsidRPr="001E545F">
              <w:rPr>
                <w:rStyle w:val="Hyperlink"/>
              </w:rPr>
              <w:t>Proportionality Requirements</w:t>
            </w:r>
            <w:r w:rsidR="0088562F">
              <w:rPr>
                <w:webHidden/>
              </w:rPr>
              <w:tab/>
            </w:r>
            <w:r w:rsidR="0088562F">
              <w:rPr>
                <w:webHidden/>
              </w:rPr>
              <w:fldChar w:fldCharType="begin"/>
            </w:r>
            <w:r w:rsidR="0088562F">
              <w:rPr>
                <w:webHidden/>
              </w:rPr>
              <w:instrText xml:space="preserve"> PAGEREF _Toc160613166 \h </w:instrText>
            </w:r>
            <w:r w:rsidR="0088562F">
              <w:rPr>
                <w:webHidden/>
              </w:rPr>
            </w:r>
            <w:r w:rsidR="0088562F">
              <w:rPr>
                <w:webHidden/>
              </w:rPr>
              <w:fldChar w:fldCharType="separate"/>
            </w:r>
            <w:r>
              <w:rPr>
                <w:webHidden/>
              </w:rPr>
              <w:t>10</w:t>
            </w:r>
            <w:r w:rsidR="0088562F">
              <w:rPr>
                <w:webHidden/>
              </w:rPr>
              <w:fldChar w:fldCharType="end"/>
            </w:r>
          </w:hyperlink>
        </w:p>
        <w:p w14:paraId="692FC398" w14:textId="797A66D1" w:rsidR="0088562F" w:rsidRDefault="006E0AB9">
          <w:pPr>
            <w:pStyle w:val="TOC2"/>
            <w:rPr>
              <w:rFonts w:asciiTheme="minorHAnsi" w:eastAsiaTheme="minorEastAsia" w:hAnsiTheme="minorHAnsi" w:cstheme="minorBidi"/>
              <w:kern w:val="2"/>
              <w:sz w:val="24"/>
              <w14:ligatures w14:val="standardContextual"/>
            </w:rPr>
          </w:pPr>
          <w:hyperlink w:anchor="_Toc160613167" w:history="1">
            <w:r w:rsidR="0088562F" w:rsidRPr="001E545F">
              <w:rPr>
                <w:rStyle w:val="Hyperlink"/>
              </w:rPr>
              <w:t>Senior Rental Housing Limit Compliance</w:t>
            </w:r>
            <w:r w:rsidR="0088562F">
              <w:rPr>
                <w:webHidden/>
              </w:rPr>
              <w:tab/>
            </w:r>
            <w:r w:rsidR="0088562F">
              <w:rPr>
                <w:webHidden/>
              </w:rPr>
              <w:fldChar w:fldCharType="begin"/>
            </w:r>
            <w:r w:rsidR="0088562F">
              <w:rPr>
                <w:webHidden/>
              </w:rPr>
              <w:instrText xml:space="preserve"> PAGEREF _Toc160613167 \h </w:instrText>
            </w:r>
            <w:r w:rsidR="0088562F">
              <w:rPr>
                <w:webHidden/>
              </w:rPr>
            </w:r>
            <w:r w:rsidR="0088562F">
              <w:rPr>
                <w:webHidden/>
              </w:rPr>
              <w:fldChar w:fldCharType="separate"/>
            </w:r>
            <w:r>
              <w:rPr>
                <w:webHidden/>
              </w:rPr>
              <w:t>11</w:t>
            </w:r>
            <w:r w:rsidR="0088562F">
              <w:rPr>
                <w:webHidden/>
              </w:rPr>
              <w:fldChar w:fldCharType="end"/>
            </w:r>
          </w:hyperlink>
        </w:p>
        <w:p w14:paraId="686F97E6" w14:textId="637289C1" w:rsidR="0088562F" w:rsidRDefault="006E0AB9">
          <w:pPr>
            <w:pStyle w:val="TOC2"/>
            <w:rPr>
              <w:rFonts w:asciiTheme="minorHAnsi" w:eastAsiaTheme="minorEastAsia" w:hAnsiTheme="minorHAnsi" w:cstheme="minorBidi"/>
              <w:kern w:val="2"/>
              <w:sz w:val="24"/>
              <w14:ligatures w14:val="standardContextual"/>
            </w:rPr>
          </w:pPr>
          <w:hyperlink w:anchor="_Toc160613168" w:history="1">
            <w:r w:rsidR="0088562F" w:rsidRPr="001E545F">
              <w:rPr>
                <w:rStyle w:val="Hyperlink"/>
              </w:rPr>
              <w:t>Excess Surplus</w:t>
            </w:r>
            <w:r w:rsidR="0088562F">
              <w:rPr>
                <w:webHidden/>
              </w:rPr>
              <w:tab/>
            </w:r>
            <w:r w:rsidR="0088562F">
              <w:rPr>
                <w:webHidden/>
              </w:rPr>
              <w:fldChar w:fldCharType="begin"/>
            </w:r>
            <w:r w:rsidR="0088562F">
              <w:rPr>
                <w:webHidden/>
              </w:rPr>
              <w:instrText xml:space="preserve"> PAGEREF _Toc160613168 \h </w:instrText>
            </w:r>
            <w:r w:rsidR="0088562F">
              <w:rPr>
                <w:webHidden/>
              </w:rPr>
            </w:r>
            <w:r w:rsidR="0088562F">
              <w:rPr>
                <w:webHidden/>
              </w:rPr>
              <w:fldChar w:fldCharType="separate"/>
            </w:r>
            <w:r>
              <w:rPr>
                <w:webHidden/>
              </w:rPr>
              <w:t>12</w:t>
            </w:r>
            <w:r w:rsidR="0088562F">
              <w:rPr>
                <w:webHidden/>
              </w:rPr>
              <w:fldChar w:fldCharType="end"/>
            </w:r>
          </w:hyperlink>
        </w:p>
        <w:p w14:paraId="1C235229" w14:textId="0C013287" w:rsidR="0088562F" w:rsidRDefault="006E0AB9">
          <w:pPr>
            <w:pStyle w:val="TOC1"/>
            <w:rPr>
              <w:rFonts w:asciiTheme="minorHAnsi" w:eastAsiaTheme="minorEastAsia" w:hAnsiTheme="minorHAnsi" w:cstheme="minorBidi"/>
              <w:b w:val="0"/>
              <w:bCs w:val="0"/>
              <w:caps w:val="0"/>
              <w:spacing w:val="0"/>
              <w:kern w:val="2"/>
              <w:sz w:val="24"/>
              <w14:ligatures w14:val="standardContextual"/>
            </w:rPr>
          </w:pPr>
          <w:hyperlink w:anchor="_Toc160613169" w:history="1">
            <w:r w:rsidR="0088562F" w:rsidRPr="001E545F">
              <w:rPr>
                <w:rStyle w:val="Hyperlink"/>
              </w:rPr>
              <w:t>Other Information</w:t>
            </w:r>
            <w:r w:rsidR="0088562F">
              <w:rPr>
                <w:webHidden/>
              </w:rPr>
              <w:tab/>
            </w:r>
            <w:r w:rsidR="0088562F">
              <w:rPr>
                <w:webHidden/>
              </w:rPr>
              <w:fldChar w:fldCharType="begin"/>
            </w:r>
            <w:r w:rsidR="0088562F">
              <w:rPr>
                <w:webHidden/>
              </w:rPr>
              <w:instrText xml:space="preserve"> PAGEREF _Toc160613169 \h </w:instrText>
            </w:r>
            <w:r w:rsidR="0088562F">
              <w:rPr>
                <w:webHidden/>
              </w:rPr>
            </w:r>
            <w:r w:rsidR="0088562F">
              <w:rPr>
                <w:webHidden/>
              </w:rPr>
              <w:fldChar w:fldCharType="separate"/>
            </w:r>
            <w:r>
              <w:rPr>
                <w:webHidden/>
              </w:rPr>
              <w:t>13</w:t>
            </w:r>
            <w:r w:rsidR="0088562F">
              <w:rPr>
                <w:webHidden/>
              </w:rPr>
              <w:fldChar w:fldCharType="end"/>
            </w:r>
          </w:hyperlink>
        </w:p>
        <w:p w14:paraId="1213AF30" w14:textId="7426306E" w:rsidR="0088562F" w:rsidRDefault="006E0AB9">
          <w:pPr>
            <w:pStyle w:val="TOC2"/>
            <w:rPr>
              <w:rFonts w:asciiTheme="minorHAnsi" w:eastAsiaTheme="minorEastAsia" w:hAnsiTheme="minorHAnsi" w:cstheme="minorBidi"/>
              <w:kern w:val="2"/>
              <w:sz w:val="24"/>
              <w14:ligatures w14:val="standardContextual"/>
            </w:rPr>
          </w:pPr>
          <w:hyperlink w:anchor="_Toc160613170" w:history="1">
            <w:r w:rsidR="0088562F" w:rsidRPr="001E545F">
              <w:rPr>
                <w:rStyle w:val="Hyperlink"/>
              </w:rPr>
              <w:t>Transfers to Other Housing Successors</w:t>
            </w:r>
            <w:r w:rsidR="0088562F">
              <w:rPr>
                <w:webHidden/>
              </w:rPr>
              <w:tab/>
            </w:r>
            <w:r w:rsidR="0088562F">
              <w:rPr>
                <w:webHidden/>
              </w:rPr>
              <w:fldChar w:fldCharType="begin"/>
            </w:r>
            <w:r w:rsidR="0088562F">
              <w:rPr>
                <w:webHidden/>
              </w:rPr>
              <w:instrText xml:space="preserve"> PAGEREF _Toc160613170 \h </w:instrText>
            </w:r>
            <w:r w:rsidR="0088562F">
              <w:rPr>
                <w:webHidden/>
              </w:rPr>
            </w:r>
            <w:r w:rsidR="0088562F">
              <w:rPr>
                <w:webHidden/>
              </w:rPr>
              <w:fldChar w:fldCharType="separate"/>
            </w:r>
            <w:r>
              <w:rPr>
                <w:webHidden/>
              </w:rPr>
              <w:t>13</w:t>
            </w:r>
            <w:r w:rsidR="0088562F">
              <w:rPr>
                <w:webHidden/>
              </w:rPr>
              <w:fldChar w:fldCharType="end"/>
            </w:r>
          </w:hyperlink>
        </w:p>
        <w:p w14:paraId="18347212" w14:textId="048967E1" w:rsidR="0088562F" w:rsidRDefault="006E0AB9">
          <w:pPr>
            <w:pStyle w:val="TOC2"/>
            <w:rPr>
              <w:rFonts w:asciiTheme="minorHAnsi" w:eastAsiaTheme="minorEastAsia" w:hAnsiTheme="minorHAnsi" w:cstheme="minorBidi"/>
              <w:kern w:val="2"/>
              <w:sz w:val="24"/>
              <w14:ligatures w14:val="standardContextual"/>
            </w:rPr>
          </w:pPr>
          <w:hyperlink w:anchor="_Toc160613171" w:history="1">
            <w:r w:rsidR="0088562F" w:rsidRPr="001E545F">
              <w:rPr>
                <w:rStyle w:val="Hyperlink"/>
              </w:rPr>
              <w:t>Homeownership Unit Inventory</w:t>
            </w:r>
            <w:r w:rsidR="0088562F">
              <w:rPr>
                <w:webHidden/>
              </w:rPr>
              <w:tab/>
            </w:r>
            <w:r w:rsidR="0088562F">
              <w:rPr>
                <w:webHidden/>
              </w:rPr>
              <w:fldChar w:fldCharType="begin"/>
            </w:r>
            <w:r w:rsidR="0088562F">
              <w:rPr>
                <w:webHidden/>
              </w:rPr>
              <w:instrText xml:space="preserve"> PAGEREF _Toc160613171 \h </w:instrText>
            </w:r>
            <w:r w:rsidR="0088562F">
              <w:rPr>
                <w:webHidden/>
              </w:rPr>
            </w:r>
            <w:r w:rsidR="0088562F">
              <w:rPr>
                <w:webHidden/>
              </w:rPr>
              <w:fldChar w:fldCharType="separate"/>
            </w:r>
            <w:r>
              <w:rPr>
                <w:webHidden/>
              </w:rPr>
              <w:t>13</w:t>
            </w:r>
            <w:r w:rsidR="0088562F">
              <w:rPr>
                <w:webHidden/>
              </w:rPr>
              <w:fldChar w:fldCharType="end"/>
            </w:r>
          </w:hyperlink>
        </w:p>
        <w:p w14:paraId="2F08E7C5" w14:textId="38A9CEB0" w:rsidR="0088562F" w:rsidRDefault="006E0AB9">
          <w:pPr>
            <w:pStyle w:val="TOC1"/>
            <w:rPr>
              <w:rFonts w:asciiTheme="minorHAnsi" w:eastAsiaTheme="minorEastAsia" w:hAnsiTheme="minorHAnsi" w:cstheme="minorBidi"/>
              <w:b w:val="0"/>
              <w:bCs w:val="0"/>
              <w:caps w:val="0"/>
              <w:spacing w:val="0"/>
              <w:kern w:val="2"/>
              <w:sz w:val="24"/>
              <w14:ligatures w14:val="standardContextual"/>
            </w:rPr>
          </w:pPr>
          <w:hyperlink w:anchor="_Toc160613172" w:history="1">
            <w:r w:rsidR="0088562F" w:rsidRPr="001E545F">
              <w:rPr>
                <w:rStyle w:val="Hyperlink"/>
              </w:rPr>
              <w:t>APPENDIX 1 – Housing Asset transfer form</w:t>
            </w:r>
            <w:r w:rsidR="0088562F">
              <w:rPr>
                <w:webHidden/>
              </w:rPr>
              <w:tab/>
            </w:r>
            <w:r w:rsidR="0088562F">
              <w:rPr>
                <w:webHidden/>
              </w:rPr>
              <w:fldChar w:fldCharType="begin"/>
            </w:r>
            <w:r w:rsidR="0088562F">
              <w:rPr>
                <w:webHidden/>
              </w:rPr>
              <w:instrText xml:space="preserve"> PAGEREF _Toc160613172 \h </w:instrText>
            </w:r>
            <w:r w:rsidR="0088562F">
              <w:rPr>
                <w:webHidden/>
              </w:rPr>
            </w:r>
            <w:r w:rsidR="0088562F">
              <w:rPr>
                <w:webHidden/>
              </w:rPr>
              <w:fldChar w:fldCharType="separate"/>
            </w:r>
            <w:r>
              <w:rPr>
                <w:webHidden/>
              </w:rPr>
              <w:t>14</w:t>
            </w:r>
            <w:r w:rsidR="0088562F">
              <w:rPr>
                <w:webHidden/>
              </w:rPr>
              <w:fldChar w:fldCharType="end"/>
            </w:r>
          </w:hyperlink>
        </w:p>
        <w:p w14:paraId="03B03222" w14:textId="5668E10D" w:rsidR="0088562F" w:rsidRDefault="006E0AB9">
          <w:pPr>
            <w:pStyle w:val="TOC1"/>
            <w:rPr>
              <w:rFonts w:asciiTheme="minorHAnsi" w:eastAsiaTheme="minorEastAsia" w:hAnsiTheme="minorHAnsi" w:cstheme="minorBidi"/>
              <w:b w:val="0"/>
              <w:bCs w:val="0"/>
              <w:caps w:val="0"/>
              <w:spacing w:val="0"/>
              <w:kern w:val="2"/>
              <w:sz w:val="24"/>
              <w14:ligatures w14:val="standardContextual"/>
            </w:rPr>
          </w:pPr>
          <w:hyperlink w:anchor="_Toc160613173" w:history="1">
            <w:r w:rsidR="0088562F" w:rsidRPr="001E545F">
              <w:rPr>
                <w:rStyle w:val="Hyperlink"/>
              </w:rPr>
              <w:t>APPENDIX 2 - Housing Successor Annual Report Requirements</w:t>
            </w:r>
            <w:r w:rsidR="0088562F">
              <w:rPr>
                <w:webHidden/>
              </w:rPr>
              <w:tab/>
            </w:r>
            <w:r w:rsidR="0088562F">
              <w:rPr>
                <w:webHidden/>
              </w:rPr>
              <w:fldChar w:fldCharType="begin"/>
            </w:r>
            <w:r w:rsidR="0088562F">
              <w:rPr>
                <w:webHidden/>
              </w:rPr>
              <w:instrText xml:space="preserve"> PAGEREF _Toc160613173 \h </w:instrText>
            </w:r>
            <w:r w:rsidR="0088562F">
              <w:rPr>
                <w:webHidden/>
              </w:rPr>
            </w:r>
            <w:r w:rsidR="0088562F">
              <w:rPr>
                <w:webHidden/>
              </w:rPr>
              <w:fldChar w:fldCharType="separate"/>
            </w:r>
            <w:r>
              <w:rPr>
                <w:webHidden/>
              </w:rPr>
              <w:t>15</w:t>
            </w:r>
            <w:r w:rsidR="0088562F">
              <w:rPr>
                <w:webHidden/>
              </w:rPr>
              <w:fldChar w:fldCharType="end"/>
            </w:r>
          </w:hyperlink>
        </w:p>
        <w:p w14:paraId="197FF35B" w14:textId="495C92AC" w:rsidR="0088562F" w:rsidRDefault="006E0AB9">
          <w:pPr>
            <w:pStyle w:val="TOC1"/>
            <w:rPr>
              <w:rFonts w:asciiTheme="minorHAnsi" w:eastAsiaTheme="minorEastAsia" w:hAnsiTheme="minorHAnsi" w:cstheme="minorBidi"/>
              <w:b w:val="0"/>
              <w:bCs w:val="0"/>
              <w:caps w:val="0"/>
              <w:spacing w:val="0"/>
              <w:kern w:val="2"/>
              <w:sz w:val="24"/>
              <w14:ligatures w14:val="standardContextual"/>
            </w:rPr>
          </w:pPr>
          <w:hyperlink w:anchor="_Toc160613174" w:history="1">
            <w:r w:rsidR="0088562F" w:rsidRPr="001E545F">
              <w:rPr>
                <w:rStyle w:val="Hyperlink"/>
              </w:rPr>
              <w:t>APPENDIX 3 – Housing Asset Fund Expenditure Requirements</w:t>
            </w:r>
            <w:r w:rsidR="0088562F">
              <w:rPr>
                <w:webHidden/>
              </w:rPr>
              <w:tab/>
            </w:r>
            <w:r w:rsidR="0088562F">
              <w:rPr>
                <w:webHidden/>
              </w:rPr>
              <w:fldChar w:fldCharType="begin"/>
            </w:r>
            <w:r w:rsidR="0088562F">
              <w:rPr>
                <w:webHidden/>
              </w:rPr>
              <w:instrText xml:space="preserve"> PAGEREF _Toc160613174 \h </w:instrText>
            </w:r>
            <w:r w:rsidR="0088562F">
              <w:rPr>
                <w:webHidden/>
              </w:rPr>
            </w:r>
            <w:r w:rsidR="0088562F">
              <w:rPr>
                <w:webHidden/>
              </w:rPr>
              <w:fldChar w:fldCharType="separate"/>
            </w:r>
            <w:r>
              <w:rPr>
                <w:webHidden/>
              </w:rPr>
              <w:t>16</w:t>
            </w:r>
            <w:r w:rsidR="0088562F">
              <w:rPr>
                <w:webHidden/>
              </w:rPr>
              <w:fldChar w:fldCharType="end"/>
            </w:r>
          </w:hyperlink>
        </w:p>
        <w:p w14:paraId="5CA7BBF4" w14:textId="12295189" w:rsidR="0088562F" w:rsidRDefault="006E0AB9">
          <w:pPr>
            <w:pStyle w:val="TOC1"/>
            <w:rPr>
              <w:rFonts w:asciiTheme="minorHAnsi" w:eastAsiaTheme="minorEastAsia" w:hAnsiTheme="minorHAnsi" w:cstheme="minorBidi"/>
              <w:b w:val="0"/>
              <w:bCs w:val="0"/>
              <w:caps w:val="0"/>
              <w:spacing w:val="0"/>
              <w:kern w:val="2"/>
              <w:sz w:val="24"/>
              <w14:ligatures w14:val="standardContextual"/>
            </w:rPr>
          </w:pPr>
          <w:hyperlink w:anchor="_Toc160613175" w:history="1">
            <w:r w:rsidR="0088562F" w:rsidRPr="001E545F">
              <w:rPr>
                <w:rStyle w:val="Hyperlink"/>
              </w:rPr>
              <w:t>APPENDIX 4 – Homeownership unit inventory</w:t>
            </w:r>
            <w:r w:rsidR="0088562F">
              <w:rPr>
                <w:webHidden/>
              </w:rPr>
              <w:tab/>
            </w:r>
            <w:r w:rsidR="0088562F">
              <w:rPr>
                <w:webHidden/>
              </w:rPr>
              <w:fldChar w:fldCharType="begin"/>
            </w:r>
            <w:r w:rsidR="0088562F">
              <w:rPr>
                <w:webHidden/>
              </w:rPr>
              <w:instrText xml:space="preserve"> PAGEREF _Toc160613175 \h </w:instrText>
            </w:r>
            <w:r w:rsidR="0088562F">
              <w:rPr>
                <w:webHidden/>
              </w:rPr>
            </w:r>
            <w:r w:rsidR="0088562F">
              <w:rPr>
                <w:webHidden/>
              </w:rPr>
              <w:fldChar w:fldCharType="separate"/>
            </w:r>
            <w:r>
              <w:rPr>
                <w:webHidden/>
              </w:rPr>
              <w:t>18</w:t>
            </w:r>
            <w:r w:rsidR="0088562F">
              <w:rPr>
                <w:webHidden/>
              </w:rPr>
              <w:fldChar w:fldCharType="end"/>
            </w:r>
          </w:hyperlink>
        </w:p>
        <w:p w14:paraId="3E4750E0" w14:textId="29E26DF0" w:rsidR="00DC6B65" w:rsidRPr="005F2841" w:rsidRDefault="00DC6B65">
          <w:pPr>
            <w:pStyle w:val="TOC1"/>
            <w:rPr>
              <w:highlight w:val="yellow"/>
            </w:rPr>
          </w:pPr>
          <w:r w:rsidRPr="003A49A7">
            <w:rPr>
              <w:highlight w:val="yellow"/>
            </w:rPr>
            <w:fldChar w:fldCharType="end"/>
          </w:r>
        </w:p>
      </w:sdtContent>
    </w:sdt>
    <w:p w14:paraId="50F67452" w14:textId="27BED646" w:rsidR="002E15B4" w:rsidRPr="005F2841" w:rsidRDefault="002E15B4" w:rsidP="008C1425">
      <w:r w:rsidRPr="005F2841">
        <w:tab/>
      </w:r>
    </w:p>
    <w:p w14:paraId="15869397" w14:textId="3A9F08A2" w:rsidR="00312084" w:rsidRPr="00EA4E33" w:rsidRDefault="002E15B4" w:rsidP="002E15B4">
      <w:pPr>
        <w:tabs>
          <w:tab w:val="left" w:pos="3195"/>
        </w:tabs>
        <w:rPr>
          <w:rFonts w:asciiTheme="minorHAnsi" w:hAnsiTheme="minorHAnsi"/>
        </w:rPr>
        <w:sectPr w:rsidR="00312084" w:rsidRPr="00EA4E33" w:rsidSect="002A7695">
          <w:footerReference w:type="default" r:id="rId12"/>
          <w:pgSz w:w="12240" w:h="15840" w:code="1"/>
          <w:pgMar w:top="1800" w:right="1080" w:bottom="1440" w:left="1080" w:header="720" w:footer="504" w:gutter="0"/>
          <w:pgNumType w:start="1"/>
          <w:cols w:space="720"/>
          <w:titlePg/>
          <w:docGrid w:linePitch="360"/>
        </w:sectPr>
      </w:pPr>
      <w:r w:rsidRPr="005F2841">
        <w:tab/>
      </w:r>
    </w:p>
    <w:p w14:paraId="0DB53452" w14:textId="7BA4EDD9" w:rsidR="00A500C0" w:rsidRPr="005F2841" w:rsidRDefault="00226D53" w:rsidP="00C02200">
      <w:pPr>
        <w:pStyle w:val="RSGHeading01"/>
      </w:pPr>
      <w:bookmarkStart w:id="34" w:name="_Toc160613151"/>
      <w:bookmarkEnd w:id="32"/>
      <w:r w:rsidRPr="005F2841">
        <w:lastRenderedPageBreak/>
        <w:t>Introduction</w:t>
      </w:r>
      <w:bookmarkEnd w:id="34"/>
    </w:p>
    <w:p w14:paraId="4408FD02" w14:textId="600366A9" w:rsidR="00D84CE8" w:rsidRDefault="00A500C0" w:rsidP="00A500C0">
      <w:pPr>
        <w:pStyle w:val="RSGBody"/>
        <w:rPr>
          <w:rFonts w:cs="Arial"/>
        </w:rPr>
      </w:pPr>
      <w:r w:rsidRPr="00A500C0">
        <w:t xml:space="preserve">This Housing Successor Agency Annual Report (“Annual Report”) </w:t>
      </w:r>
      <w:r w:rsidR="00C94A63">
        <w:t>presents</w:t>
      </w:r>
      <w:r w:rsidRPr="00A500C0">
        <w:t xml:space="preserve"> information on Fiscal Year (“FY”) </w:t>
      </w:r>
      <w:r w:rsidR="00800A50">
        <w:t>20</w:t>
      </w:r>
      <w:r w:rsidR="009363ED">
        <w:t>22-23</w:t>
      </w:r>
      <w:r w:rsidRPr="00A500C0">
        <w:t xml:space="preserve"> </w:t>
      </w:r>
      <w:r w:rsidR="00C94A63">
        <w:t>expenditures</w:t>
      </w:r>
      <w:r w:rsidRPr="00A500C0">
        <w:t xml:space="preserve"> and activities as required by Health and Safety Code (“HSC”) Section 34176.1(f)</w:t>
      </w:r>
      <w:r w:rsidR="00FE105C">
        <w:t xml:space="preserve">, </w:t>
      </w:r>
      <w:r w:rsidR="00D84CE8" w:rsidRPr="00A57DCD">
        <w:rPr>
          <w:rFonts w:cs="Arial"/>
        </w:rPr>
        <w:t>including but not limited to a housing successor’s compliance with certain expenditure activities over the year as well as a five-</w:t>
      </w:r>
      <w:r w:rsidR="006213E5">
        <w:rPr>
          <w:rFonts w:cs="Arial"/>
        </w:rPr>
        <w:t xml:space="preserve"> and ten-</w:t>
      </w:r>
      <w:r w:rsidR="00D84CE8" w:rsidRPr="00A57DCD">
        <w:rPr>
          <w:rFonts w:cs="Arial"/>
        </w:rPr>
        <w:t>year planning period.</w:t>
      </w:r>
    </w:p>
    <w:p w14:paraId="6D2578A2" w14:textId="77777777" w:rsidR="00C94A63" w:rsidRPr="00A57DCD" w:rsidRDefault="00C94A63" w:rsidP="00C94A63">
      <w:pPr>
        <w:pStyle w:val="RSGHeading02"/>
      </w:pPr>
      <w:bookmarkStart w:id="35" w:name="_Toc64463460"/>
      <w:bookmarkStart w:id="36" w:name="_Toc160613152"/>
      <w:r w:rsidRPr="008C1425">
        <w:t>Housing Successor</w:t>
      </w:r>
      <w:bookmarkEnd w:id="35"/>
      <w:bookmarkEnd w:id="36"/>
      <w:r w:rsidRPr="008C1425">
        <w:t> </w:t>
      </w:r>
    </w:p>
    <w:p w14:paraId="6CA73D62" w14:textId="136C1AD5" w:rsidR="00594CCF" w:rsidRDefault="00594CCF" w:rsidP="00594CCF">
      <w:pPr>
        <w:pStyle w:val="RSGBody"/>
      </w:pPr>
      <w:r w:rsidRPr="00A500C0">
        <w:t xml:space="preserve">The </w:t>
      </w:r>
      <w:r w:rsidR="005A680D">
        <w:t xml:space="preserve">City of </w:t>
      </w:r>
      <w:r>
        <w:t>Oroville</w:t>
      </w:r>
      <w:r w:rsidRPr="00A500C0">
        <w:t xml:space="preserve"> </w:t>
      </w:r>
      <w:r w:rsidR="005A680D">
        <w:t xml:space="preserve">(“City”) </w:t>
      </w:r>
      <w:r w:rsidR="00406571">
        <w:t xml:space="preserve">is the </w:t>
      </w:r>
      <w:r>
        <w:t>Housing Successor</w:t>
      </w:r>
      <w:r w:rsidRPr="00A500C0">
        <w:t xml:space="preserve"> </w:t>
      </w:r>
      <w:r w:rsidR="00406571">
        <w:t xml:space="preserve">Agency </w:t>
      </w:r>
      <w:r w:rsidRPr="00A500C0">
        <w:t>(“</w:t>
      </w:r>
      <w:r>
        <w:t>Housing Successor</w:t>
      </w:r>
      <w:r w:rsidRPr="00A500C0">
        <w:t xml:space="preserve">”) to the former </w:t>
      </w:r>
      <w:r>
        <w:t>Oroville</w:t>
      </w:r>
      <w:r w:rsidRPr="00A500C0">
        <w:t xml:space="preserve"> Redevelopment Agency (“Agency”)</w:t>
      </w:r>
      <w:r w:rsidR="00406571">
        <w:t xml:space="preserve">, which was dissolved </w:t>
      </w:r>
      <w:r w:rsidR="00643933">
        <w:t>with all other agencies statewide by the Legislature</w:t>
      </w:r>
      <w:r w:rsidR="00406571">
        <w:t xml:space="preserve"> in 2012</w:t>
      </w:r>
      <w:r w:rsidRPr="00A500C0">
        <w:t xml:space="preserve">. </w:t>
      </w:r>
      <w:r w:rsidR="009D2DCC" w:rsidRPr="00A57DCD">
        <w:rPr>
          <w:rFonts w:cs="Arial"/>
        </w:rPr>
        <w:t xml:space="preserve">At the time of dissolution, a housing successor was to be selected </w:t>
      </w:r>
      <w:r w:rsidR="00581987">
        <w:rPr>
          <w:rFonts w:cs="Arial"/>
        </w:rPr>
        <w:t>for</w:t>
      </w:r>
      <w:r w:rsidR="009D2DCC" w:rsidRPr="00A57DCD">
        <w:rPr>
          <w:rFonts w:cs="Arial"/>
        </w:rPr>
        <w:t xml:space="preserve"> </w:t>
      </w:r>
      <w:r w:rsidR="00C25EA9">
        <w:rPr>
          <w:rFonts w:cs="Arial"/>
        </w:rPr>
        <w:t xml:space="preserve">the </w:t>
      </w:r>
      <w:r w:rsidR="009D2DCC" w:rsidRPr="00A57DCD">
        <w:rPr>
          <w:rFonts w:cs="Arial"/>
        </w:rPr>
        <w:t xml:space="preserve">transfer </w:t>
      </w:r>
      <w:r w:rsidR="00581987">
        <w:rPr>
          <w:rFonts w:cs="Arial"/>
        </w:rPr>
        <w:t xml:space="preserve">of, </w:t>
      </w:r>
      <w:r w:rsidR="009D2DCC" w:rsidRPr="00A57DCD">
        <w:rPr>
          <w:rFonts w:cs="Arial"/>
        </w:rPr>
        <w:t xml:space="preserve">and </w:t>
      </w:r>
      <w:r w:rsidR="00581987">
        <w:rPr>
          <w:rFonts w:cs="Arial"/>
        </w:rPr>
        <w:t xml:space="preserve">to </w:t>
      </w:r>
      <w:r w:rsidR="009D2DCC" w:rsidRPr="00A57DCD">
        <w:rPr>
          <w:rFonts w:cs="Arial"/>
        </w:rPr>
        <w:t>be responsible for</w:t>
      </w:r>
      <w:r w:rsidR="00581987">
        <w:rPr>
          <w:rFonts w:cs="Arial"/>
        </w:rPr>
        <w:t>,</w:t>
      </w:r>
      <w:r w:rsidR="009D2DCC" w:rsidRPr="00A57DCD">
        <w:rPr>
          <w:rFonts w:cs="Arial"/>
        </w:rPr>
        <w:t xml:space="preserve"> the remaining assets and liabilities of a former redevelopment agency.</w:t>
      </w:r>
      <w:r w:rsidR="007C14E1">
        <w:rPr>
          <w:rFonts w:cs="Arial"/>
        </w:rPr>
        <w:t xml:space="preserve"> </w:t>
      </w:r>
      <w:r w:rsidRPr="00A500C0">
        <w:t xml:space="preserve">The </w:t>
      </w:r>
      <w:r>
        <w:t>Housing Successor</w:t>
      </w:r>
      <w:r w:rsidRPr="00A500C0">
        <w:t xml:space="preserve"> is responsible for maintaining housing assets transferred from </w:t>
      </w:r>
      <w:r>
        <w:t xml:space="preserve">the </w:t>
      </w:r>
      <w:r w:rsidRPr="00A500C0">
        <w:t>former Agenc</w:t>
      </w:r>
      <w:r>
        <w:t xml:space="preserve">y.  Its main goal is to provide affordable housing for </w:t>
      </w:r>
      <w:r w:rsidR="00094CF9">
        <w:t>City</w:t>
      </w:r>
      <w:r>
        <w:t xml:space="preserve"> residents</w:t>
      </w:r>
      <w:r w:rsidRPr="00A500C0">
        <w:t>.</w:t>
      </w:r>
    </w:p>
    <w:p w14:paraId="7562CC0A" w14:textId="77777777" w:rsidR="008450FF" w:rsidRPr="00A57DCD" w:rsidRDefault="008450FF" w:rsidP="008450FF">
      <w:pPr>
        <w:pStyle w:val="RSGHeading02"/>
      </w:pPr>
      <w:bookmarkStart w:id="37" w:name="_Toc64463461"/>
      <w:bookmarkStart w:id="38" w:name="_Toc160613153"/>
      <w:r w:rsidRPr="008C1425">
        <w:t>Scope of This Housing Successor Annual Report</w:t>
      </w:r>
      <w:bookmarkEnd w:id="37"/>
      <w:bookmarkEnd w:id="38"/>
      <w:r w:rsidRPr="008C1425">
        <w:t> </w:t>
      </w:r>
    </w:p>
    <w:p w14:paraId="51144DEC" w14:textId="2219B8C8" w:rsidR="000B5AD0" w:rsidRPr="00A57DCD" w:rsidRDefault="000B5AD0" w:rsidP="000B5AD0">
      <w:pPr>
        <w:pStyle w:val="RSGBody"/>
        <w:rPr>
          <w:rFonts w:cs="Arial"/>
        </w:rPr>
      </w:pPr>
      <w:r w:rsidRPr="00A57DCD">
        <w:rPr>
          <w:rFonts w:cs="Arial"/>
        </w:rPr>
        <w:t xml:space="preserve">This Annual Report is limited to the </w:t>
      </w:r>
      <w:r>
        <w:rPr>
          <w:rFonts w:cs="Arial"/>
        </w:rPr>
        <w:t>City</w:t>
      </w:r>
      <w:r w:rsidRPr="00A57DCD">
        <w:rPr>
          <w:rFonts w:cs="Arial"/>
        </w:rPr>
        <w:t>’s activities as it relates to its role as a housing successor.  This may include, but is not limited to, financial activities, property disposition, loan administration, monitoring of covenants, and affordable housing development.  This Annual Report describes compliance with various annual, five-year, and ten-year housing expenditure and production requirements. FY 20</w:t>
      </w:r>
      <w:r w:rsidR="009363ED">
        <w:rPr>
          <w:rFonts w:cs="Arial"/>
        </w:rPr>
        <w:t>22-23</w:t>
      </w:r>
      <w:r w:rsidRPr="00A57DCD">
        <w:rPr>
          <w:rFonts w:cs="Arial"/>
        </w:rPr>
        <w:t xml:space="preserve"> </w:t>
      </w:r>
      <w:r>
        <w:rPr>
          <w:rFonts w:cs="Arial"/>
        </w:rPr>
        <w:t xml:space="preserve">is the </w:t>
      </w:r>
      <w:r w:rsidR="00327054">
        <w:rPr>
          <w:rFonts w:cs="Arial"/>
        </w:rPr>
        <w:t>thir</w:t>
      </w:r>
      <w:r w:rsidR="00D7465E">
        <w:rPr>
          <w:rFonts w:cs="Arial"/>
        </w:rPr>
        <w:t>d</w:t>
      </w:r>
      <w:r>
        <w:rPr>
          <w:rFonts w:cs="Arial"/>
        </w:rPr>
        <w:t xml:space="preserve"> year of the current five-year compliance period for income proportionality, which beg</w:t>
      </w:r>
      <w:r w:rsidR="00D7465E">
        <w:rPr>
          <w:rFonts w:cs="Arial"/>
        </w:rPr>
        <w:t>an</w:t>
      </w:r>
      <w:r>
        <w:rPr>
          <w:rFonts w:cs="Arial"/>
        </w:rPr>
        <w:t xml:space="preserve"> July 1, </w:t>
      </w:r>
      <w:r w:rsidR="00D355A3">
        <w:rPr>
          <w:rFonts w:cs="Arial"/>
        </w:rPr>
        <w:t>2019,</w:t>
      </w:r>
      <w:r>
        <w:rPr>
          <w:rFonts w:cs="Arial"/>
        </w:rPr>
        <w:t xml:space="preserve"> and ends June 30, 2024</w:t>
      </w:r>
      <w:r w:rsidRPr="00A57DCD">
        <w:rPr>
          <w:rFonts w:cs="Arial"/>
        </w:rPr>
        <w:t xml:space="preserve">. </w:t>
      </w:r>
    </w:p>
    <w:p w14:paraId="09F9F463" w14:textId="6AAB514C" w:rsidR="00B81331" w:rsidRPr="00A500C0" w:rsidRDefault="00B81331" w:rsidP="00B81331">
      <w:pPr>
        <w:pStyle w:val="RSGBody"/>
      </w:pPr>
      <w:r>
        <w:t xml:space="preserve">This Annual Report is </w:t>
      </w:r>
      <w:r w:rsidRPr="00A500C0">
        <w:t xml:space="preserve">due to the </w:t>
      </w:r>
      <w:r w:rsidR="006F1C42">
        <w:t xml:space="preserve">State of </w:t>
      </w:r>
      <w:r w:rsidRPr="00A500C0">
        <w:t xml:space="preserve">California </w:t>
      </w:r>
      <w:r w:rsidR="006F1C42">
        <w:t xml:space="preserve">(“State”) </w:t>
      </w:r>
      <w:r w:rsidRPr="00A500C0">
        <w:t xml:space="preserve">Department of Housing and Community Development (“HCD”) by </w:t>
      </w:r>
      <w:r w:rsidR="006F1C42">
        <w:t>April 1</w:t>
      </w:r>
      <w:r w:rsidRPr="00A500C0">
        <w:t xml:space="preserve"> </w:t>
      </w:r>
      <w:r w:rsidR="00D355A3" w:rsidRPr="00A500C0">
        <w:t>annually and</w:t>
      </w:r>
      <w:r w:rsidRPr="00A500C0">
        <w:t xml:space="preserve"> must be accompanied by an independent financial audit.  </w:t>
      </w:r>
      <w:r w:rsidR="00F967C2">
        <w:t>The City’s</w:t>
      </w:r>
      <w:r w:rsidRPr="00A500C0">
        <w:t xml:space="preserve"> audited financial statements will be posted on the </w:t>
      </w:r>
      <w:r w:rsidR="000A6AC0">
        <w:t>City's</w:t>
      </w:r>
      <w:r>
        <w:t xml:space="preserve"> </w:t>
      </w:r>
      <w:r w:rsidRPr="00A500C0">
        <w:t xml:space="preserve">website when available.  </w:t>
      </w:r>
      <w:r w:rsidRPr="00007D9B">
        <w:t xml:space="preserve">This report is an addendum to the Housing </w:t>
      </w:r>
      <w:r w:rsidR="002220AF" w:rsidRPr="00007D9B">
        <w:t>Element</w:t>
      </w:r>
      <w:r w:rsidRPr="00007D9B">
        <w:t xml:space="preserve"> Annual </w:t>
      </w:r>
      <w:r w:rsidR="002220AF" w:rsidRPr="00007D9B">
        <w:t xml:space="preserve">Progress </w:t>
      </w:r>
      <w:r w:rsidRPr="00007D9B">
        <w:t xml:space="preserve">Report required by </w:t>
      </w:r>
      <w:r w:rsidR="00007D9B" w:rsidRPr="00007D9B">
        <w:rPr>
          <w:rFonts w:cs="Arial"/>
        </w:rPr>
        <w:t>Government Code Section 65400</w:t>
      </w:r>
      <w:r w:rsidRPr="00007D9B">
        <w:t xml:space="preserve">, which is submitted to HCD by </w:t>
      </w:r>
      <w:r w:rsidR="00007D9B" w:rsidRPr="00007D9B">
        <w:t>April</w:t>
      </w:r>
      <w:r w:rsidRPr="00007D9B">
        <w:t xml:space="preserve"> 1 annually.</w:t>
      </w:r>
    </w:p>
    <w:p w14:paraId="03CBE73C" w14:textId="77777777" w:rsidR="00652E79" w:rsidRPr="00A57DCD" w:rsidRDefault="00652E79" w:rsidP="00652E79">
      <w:pPr>
        <w:pStyle w:val="RSGHeading02"/>
      </w:pPr>
      <w:bookmarkStart w:id="39" w:name="_Toc64463462"/>
      <w:bookmarkStart w:id="40" w:name="_Toc160613154"/>
      <w:r w:rsidRPr="008C1425">
        <w:t>Assets Transferred to the Housing Successor</w:t>
      </w:r>
      <w:bookmarkEnd w:id="39"/>
      <w:bookmarkEnd w:id="40"/>
      <w:r w:rsidRPr="008C1425">
        <w:t> </w:t>
      </w:r>
    </w:p>
    <w:p w14:paraId="0E790CF5" w14:textId="1110899E" w:rsidR="00F71EE5" w:rsidRPr="00A57DCD" w:rsidRDefault="00F71EE5" w:rsidP="00F71EE5">
      <w:pPr>
        <w:pStyle w:val="RSGBody"/>
        <w:rPr>
          <w:rFonts w:cs="Arial"/>
        </w:rPr>
      </w:pPr>
      <w:r w:rsidRPr="00A57DCD">
        <w:rPr>
          <w:rFonts w:cs="Arial"/>
        </w:rPr>
        <w:t>Upon the statewide dissolution of redevelopment in 2012, all rights, powers, committed assets, liabilities, duties, and obligations associated with the housing activities of the Agency were transferred to the Housing Successor.  The Housing Successor prepared a H</w:t>
      </w:r>
      <w:r>
        <w:rPr>
          <w:rFonts w:cs="Arial"/>
        </w:rPr>
        <w:t xml:space="preserve">ousing </w:t>
      </w:r>
      <w:r w:rsidR="00815651">
        <w:rPr>
          <w:rFonts w:cs="Arial"/>
        </w:rPr>
        <w:t>Asset Transfer (“H</w:t>
      </w:r>
      <w:r w:rsidRPr="00A57DCD">
        <w:rPr>
          <w:rFonts w:cs="Arial"/>
        </w:rPr>
        <w:t>AT</w:t>
      </w:r>
      <w:r w:rsidR="00815651">
        <w:rPr>
          <w:rFonts w:cs="Arial"/>
        </w:rPr>
        <w:t>”) form</w:t>
      </w:r>
      <w:r w:rsidRPr="00A57DCD">
        <w:rPr>
          <w:rFonts w:cs="Arial"/>
        </w:rPr>
        <w:t xml:space="preserve"> that </w:t>
      </w:r>
      <w:r w:rsidRPr="00A57DCD">
        <w:rPr>
          <w:rFonts w:cs="Arial"/>
        </w:rPr>
        <w:lastRenderedPageBreak/>
        <w:t>provided an inventory of all housing assets transferred from the Agency to the Housing Successor. This included:</w:t>
      </w:r>
    </w:p>
    <w:p w14:paraId="54F2DC95" w14:textId="77777777" w:rsidR="00F71EE5" w:rsidRPr="00A57DCD" w:rsidRDefault="00F71EE5" w:rsidP="00F71EE5">
      <w:pPr>
        <w:pStyle w:val="RSGBody"/>
        <w:numPr>
          <w:ilvl w:val="0"/>
          <w:numId w:val="8"/>
        </w:numPr>
        <w:rPr>
          <w:rFonts w:cs="Arial"/>
        </w:rPr>
      </w:pPr>
      <w:r w:rsidRPr="00A57DCD">
        <w:rPr>
          <w:rFonts w:cs="Arial"/>
        </w:rPr>
        <w:t>Real properties;</w:t>
      </w:r>
    </w:p>
    <w:p w14:paraId="04052835" w14:textId="61D6B844" w:rsidR="00F71EE5" w:rsidRPr="00A57DCD" w:rsidRDefault="00F71EE5" w:rsidP="00F71EE5">
      <w:pPr>
        <w:pStyle w:val="RSGBody"/>
        <w:numPr>
          <w:ilvl w:val="0"/>
          <w:numId w:val="8"/>
        </w:numPr>
        <w:rPr>
          <w:rFonts w:cs="Arial"/>
        </w:rPr>
      </w:pPr>
      <w:r w:rsidRPr="00A57DCD">
        <w:rPr>
          <w:rFonts w:cs="Arial"/>
        </w:rPr>
        <w:t xml:space="preserve">Personal </w:t>
      </w:r>
      <w:r w:rsidR="007615D8">
        <w:rPr>
          <w:rFonts w:cs="Arial"/>
        </w:rPr>
        <w:t>p</w:t>
      </w:r>
      <w:r w:rsidRPr="00A57DCD">
        <w:rPr>
          <w:rFonts w:cs="Arial"/>
        </w:rPr>
        <w:t>roperty;</w:t>
      </w:r>
    </w:p>
    <w:p w14:paraId="54E43831" w14:textId="495AB610" w:rsidR="00F71EE5" w:rsidRPr="00A57DCD" w:rsidRDefault="000A6AC0" w:rsidP="00F71EE5">
      <w:pPr>
        <w:pStyle w:val="RSGBody"/>
        <w:numPr>
          <w:ilvl w:val="0"/>
          <w:numId w:val="8"/>
        </w:numPr>
        <w:rPr>
          <w:rFonts w:cs="Arial"/>
        </w:rPr>
      </w:pPr>
      <w:r w:rsidRPr="00A57DCD">
        <w:rPr>
          <w:rFonts w:cs="Arial"/>
        </w:rPr>
        <w:t>Low- and Moderate-Income</w:t>
      </w:r>
      <w:r w:rsidR="00F71EE5" w:rsidRPr="00A57DCD">
        <w:rPr>
          <w:rFonts w:cs="Arial"/>
        </w:rPr>
        <w:t xml:space="preserve"> Housing Fund (“LMIHF”) encumbrances;</w:t>
      </w:r>
    </w:p>
    <w:p w14:paraId="524C9FD1" w14:textId="01AC2F28" w:rsidR="00F71EE5" w:rsidRPr="00A57DCD" w:rsidRDefault="00F71EE5" w:rsidP="00F71EE5">
      <w:pPr>
        <w:pStyle w:val="RSGBody"/>
        <w:numPr>
          <w:ilvl w:val="0"/>
          <w:numId w:val="8"/>
        </w:numPr>
        <w:rPr>
          <w:rFonts w:cs="Arial"/>
        </w:rPr>
      </w:pPr>
      <w:r w:rsidRPr="00A57DCD">
        <w:rPr>
          <w:rFonts w:cs="Arial"/>
        </w:rPr>
        <w:t xml:space="preserve">Loans/Grants </w:t>
      </w:r>
      <w:r w:rsidR="007615D8">
        <w:rPr>
          <w:rFonts w:cs="Arial"/>
        </w:rPr>
        <w:t>r</w:t>
      </w:r>
      <w:r w:rsidRPr="00A57DCD">
        <w:rPr>
          <w:rFonts w:cs="Arial"/>
        </w:rPr>
        <w:t>eceivables; and</w:t>
      </w:r>
    </w:p>
    <w:p w14:paraId="609C03F8" w14:textId="77777777" w:rsidR="00F71EE5" w:rsidRPr="00A57DCD" w:rsidRDefault="00F71EE5" w:rsidP="00F71EE5">
      <w:pPr>
        <w:pStyle w:val="RSGBody"/>
        <w:numPr>
          <w:ilvl w:val="0"/>
          <w:numId w:val="8"/>
        </w:numPr>
        <w:rPr>
          <w:rFonts w:cs="Arial"/>
        </w:rPr>
      </w:pPr>
      <w:r w:rsidRPr="00A57DCD">
        <w:rPr>
          <w:rFonts w:cs="Arial"/>
        </w:rPr>
        <w:t>Deferrals.</w:t>
      </w:r>
    </w:p>
    <w:p w14:paraId="5C512246" w14:textId="6584B53A" w:rsidR="00F71EE5" w:rsidRPr="00A57DCD" w:rsidRDefault="00F71EE5" w:rsidP="00F71EE5">
      <w:pPr>
        <w:pStyle w:val="RSGBody"/>
        <w:rPr>
          <w:rFonts w:cs="Arial"/>
        </w:rPr>
      </w:pPr>
      <w:r w:rsidRPr="00A57DCD">
        <w:rPr>
          <w:rFonts w:cs="Arial"/>
        </w:rPr>
        <w:t xml:space="preserve">All items on </w:t>
      </w:r>
      <w:r w:rsidR="006F38DB">
        <w:rPr>
          <w:rFonts w:cs="Arial"/>
        </w:rPr>
        <w:t xml:space="preserve">the </w:t>
      </w:r>
      <w:r w:rsidRPr="00A57DCD">
        <w:rPr>
          <w:rFonts w:cs="Arial"/>
        </w:rPr>
        <w:t xml:space="preserve">HAT were approved by the California Department of Finance </w:t>
      </w:r>
      <w:r>
        <w:rPr>
          <w:rFonts w:cs="Arial"/>
        </w:rPr>
        <w:t>(“</w:t>
      </w:r>
      <w:r w:rsidRPr="00A57DCD">
        <w:rPr>
          <w:rFonts w:cs="Arial"/>
        </w:rPr>
        <w:t>DOF</w:t>
      </w:r>
      <w:r>
        <w:rPr>
          <w:rFonts w:cs="Arial"/>
        </w:rPr>
        <w:t>”)</w:t>
      </w:r>
      <w:r w:rsidRPr="00A57DCD">
        <w:rPr>
          <w:rFonts w:cs="Arial"/>
        </w:rPr>
        <w:t xml:space="preserve"> on September 5, 2012.  </w:t>
      </w:r>
    </w:p>
    <w:p w14:paraId="2F9CC7D3" w14:textId="0D4A6539" w:rsidR="00F71EE5" w:rsidRPr="00A57DCD" w:rsidRDefault="00F71EE5" w:rsidP="00F71EE5">
      <w:pPr>
        <w:pStyle w:val="RSGBody"/>
        <w:rPr>
          <w:rFonts w:cs="Arial"/>
        </w:rPr>
      </w:pPr>
      <w:r w:rsidRPr="00A57DCD">
        <w:rPr>
          <w:rFonts w:cs="Arial"/>
        </w:rPr>
        <w:t xml:space="preserve">It is important to distinguish that Housing Successor assets that were not transferred from the former Agency or generated by or purchased with assets from the former Agency are not subject to HSC Section 34176.1.  </w:t>
      </w:r>
      <w:bookmarkStart w:id="41" w:name="_Hlk22196451"/>
      <w:r w:rsidRPr="00A57DCD">
        <w:rPr>
          <w:rFonts w:cs="Arial"/>
        </w:rPr>
        <w:t xml:space="preserve">A copy of the HAT is provided </w:t>
      </w:r>
      <w:r w:rsidR="000A6AC0">
        <w:rPr>
          <w:rFonts w:cs="Arial"/>
        </w:rPr>
        <w:t>in</w:t>
      </w:r>
      <w:r w:rsidRPr="00A57DCD">
        <w:rPr>
          <w:rFonts w:cs="Arial"/>
        </w:rPr>
        <w:t xml:space="preserve"> Appendix </w:t>
      </w:r>
      <w:r w:rsidR="00A91D88" w:rsidRPr="00E11C27">
        <w:rPr>
          <w:rFonts w:cs="Arial"/>
        </w:rPr>
        <w:t>1</w:t>
      </w:r>
      <w:r w:rsidRPr="00E11C27">
        <w:rPr>
          <w:rFonts w:cs="Arial"/>
        </w:rPr>
        <w:t>.</w:t>
      </w:r>
      <w:bookmarkEnd w:id="41"/>
    </w:p>
    <w:p w14:paraId="1C96995B" w14:textId="77777777" w:rsidR="00B44C45" w:rsidRPr="008C1425" w:rsidRDefault="00B44C45" w:rsidP="00B44C45">
      <w:pPr>
        <w:pStyle w:val="RSGHeading01"/>
      </w:pPr>
      <w:bookmarkStart w:id="42" w:name="_Toc64463463"/>
      <w:bookmarkStart w:id="43" w:name="_Toc160613155"/>
      <w:r w:rsidRPr="008C1425">
        <w:t>background</w:t>
      </w:r>
      <w:bookmarkEnd w:id="42"/>
      <w:bookmarkEnd w:id="43"/>
    </w:p>
    <w:p w14:paraId="5C854B82" w14:textId="6F9F3912" w:rsidR="00E44C21" w:rsidRPr="00A57DCD" w:rsidRDefault="00E44C21" w:rsidP="00E44C21">
      <w:pPr>
        <w:pStyle w:val="RSGBody"/>
        <w:rPr>
          <w:rFonts w:cs="Arial"/>
        </w:rPr>
      </w:pPr>
      <w:r w:rsidRPr="00A57DCD">
        <w:rPr>
          <w:rFonts w:cs="Arial"/>
        </w:rPr>
        <w:t xml:space="preserve">This </w:t>
      </w:r>
      <w:r>
        <w:rPr>
          <w:rFonts w:cs="Arial"/>
        </w:rPr>
        <w:t>s</w:t>
      </w:r>
      <w:r w:rsidRPr="00A57DCD">
        <w:rPr>
          <w:rFonts w:cs="Arial"/>
        </w:rPr>
        <w:t>ection summarizes the legal requirements for use of housing successor assets that are addressed in this Annual Report.</w:t>
      </w:r>
    </w:p>
    <w:p w14:paraId="7BF1FAEE" w14:textId="7A19F746" w:rsidR="00F373B0" w:rsidRPr="00A57DCD" w:rsidRDefault="00F373B0" w:rsidP="00F373B0">
      <w:pPr>
        <w:pStyle w:val="RSGHeading02"/>
      </w:pPr>
      <w:bookmarkStart w:id="44" w:name="_Toc64463464"/>
      <w:bookmarkStart w:id="45" w:name="_Toc160613156"/>
      <w:r w:rsidRPr="008C1425">
        <w:t xml:space="preserve">Legal Requirements </w:t>
      </w:r>
      <w:r w:rsidR="00153C5A">
        <w:t>About</w:t>
      </w:r>
      <w:r w:rsidRPr="008C1425">
        <w:t> Housing Successors</w:t>
      </w:r>
      <w:bookmarkEnd w:id="44"/>
      <w:bookmarkEnd w:id="45"/>
      <w:r w:rsidRPr="008C1425">
        <w:t> </w:t>
      </w:r>
    </w:p>
    <w:p w14:paraId="2C39B86F" w14:textId="77777777" w:rsidR="00DA17DB" w:rsidRPr="00A57DCD" w:rsidRDefault="00DA17DB" w:rsidP="00DA17DB">
      <w:pPr>
        <w:pStyle w:val="RSGBody"/>
        <w:rPr>
          <w:rFonts w:cs="Arial"/>
        </w:rPr>
      </w:pPr>
      <w:r w:rsidRPr="00A57DCD">
        <w:rPr>
          <w:rFonts w:cs="Arial"/>
        </w:rPr>
        <w:t>In general, housing successors must comply with three major requirements pursuant to HSC Section 34176.1:</w:t>
      </w:r>
    </w:p>
    <w:p w14:paraId="3D654A0C" w14:textId="77777777" w:rsidR="00DA17DB" w:rsidRPr="00A57DCD" w:rsidRDefault="00DA17DB" w:rsidP="00DA17DB">
      <w:pPr>
        <w:pStyle w:val="RSGBody"/>
        <w:numPr>
          <w:ilvl w:val="0"/>
          <w:numId w:val="18"/>
        </w:numPr>
        <w:rPr>
          <w:rFonts w:cs="Arial"/>
        </w:rPr>
      </w:pPr>
      <w:r w:rsidRPr="00A57DCD">
        <w:rPr>
          <w:rFonts w:cs="Arial"/>
        </w:rPr>
        <w:t>Expenditures and housing production are subject to income and age targets.</w:t>
      </w:r>
    </w:p>
    <w:p w14:paraId="71D69263" w14:textId="77777777" w:rsidR="00DA17DB" w:rsidRPr="00A57DCD" w:rsidRDefault="00DA17DB" w:rsidP="00DA17DB">
      <w:pPr>
        <w:pStyle w:val="RSGBody"/>
        <w:numPr>
          <w:ilvl w:val="0"/>
          <w:numId w:val="18"/>
        </w:numPr>
        <w:rPr>
          <w:rFonts w:cs="Arial"/>
        </w:rPr>
      </w:pPr>
      <w:r w:rsidRPr="00A57DCD">
        <w:rPr>
          <w:rFonts w:cs="Arial"/>
        </w:rPr>
        <w:t xml:space="preserve">Housing successors may not accumulate an “excess surplus,” or a high unencumbered Housing Asset Fund balance based on certain thresholds.  </w:t>
      </w:r>
    </w:p>
    <w:p w14:paraId="4FBACC9C" w14:textId="77777777" w:rsidR="00DA17DB" w:rsidRPr="00A57DCD" w:rsidRDefault="00DA17DB" w:rsidP="00DA17DB">
      <w:pPr>
        <w:pStyle w:val="RSGBody"/>
        <w:numPr>
          <w:ilvl w:val="0"/>
          <w:numId w:val="18"/>
        </w:numPr>
        <w:rPr>
          <w:rFonts w:cs="Arial"/>
        </w:rPr>
      </w:pPr>
      <w:r w:rsidRPr="00A57DCD">
        <w:rPr>
          <w:rFonts w:cs="Arial"/>
        </w:rPr>
        <w:t>Properties must be developed with affordable housing or sold within five to ten years of the DOF approving the HAT.</w:t>
      </w:r>
    </w:p>
    <w:p w14:paraId="4C486532" w14:textId="59C5EAE4" w:rsidR="00DA17DB" w:rsidRPr="00A57DCD" w:rsidRDefault="00DA17DB" w:rsidP="00DA17DB">
      <w:pPr>
        <w:pStyle w:val="RSGBody"/>
        <w:rPr>
          <w:rFonts w:cs="Arial"/>
        </w:rPr>
      </w:pPr>
      <w:r w:rsidRPr="00A57DCD">
        <w:rPr>
          <w:rFonts w:cs="Arial"/>
        </w:rPr>
        <w:t xml:space="preserve">Appendix </w:t>
      </w:r>
      <w:r w:rsidR="00A91D88">
        <w:rPr>
          <w:rFonts w:cs="Arial"/>
        </w:rPr>
        <w:t>2</w:t>
      </w:r>
      <w:r w:rsidRPr="00A57DCD">
        <w:rPr>
          <w:rFonts w:cs="Arial"/>
        </w:rPr>
        <w:t xml:space="preserve"> provides a detailed summary of the reporting requirements that are addressed in this Annual Report.</w:t>
      </w:r>
    </w:p>
    <w:p w14:paraId="53BA5098" w14:textId="77777777" w:rsidR="00FB3E5F" w:rsidRPr="00A57DCD" w:rsidRDefault="00FB3E5F" w:rsidP="00FB3E5F">
      <w:pPr>
        <w:pStyle w:val="RSGHeading02"/>
      </w:pPr>
      <w:bookmarkStart w:id="46" w:name="_Toc64463465"/>
      <w:bookmarkStart w:id="47" w:name="_Toc160613157"/>
      <w:r w:rsidRPr="008C1425">
        <w:t>Permitted Uses of Housing Asset Funds</w:t>
      </w:r>
      <w:bookmarkEnd w:id="46"/>
      <w:bookmarkEnd w:id="47"/>
      <w:r w:rsidRPr="008C1425">
        <w:t> </w:t>
      </w:r>
    </w:p>
    <w:p w14:paraId="6297AAEB" w14:textId="3E8CB81E" w:rsidR="003E4580" w:rsidRPr="00A57DCD" w:rsidRDefault="00153C5A" w:rsidP="003E4580">
      <w:pPr>
        <w:pStyle w:val="RSGBody"/>
        <w:rPr>
          <w:rFonts w:cs="Arial"/>
        </w:rPr>
      </w:pPr>
      <w:r>
        <w:rPr>
          <w:rFonts w:cs="Arial"/>
        </w:rPr>
        <w:t>Under</w:t>
      </w:r>
      <w:r w:rsidR="003E4580" w:rsidRPr="00A57DCD">
        <w:rPr>
          <w:rFonts w:cs="Arial"/>
        </w:rPr>
        <w:t xml:space="preserve"> HSC Section 34176.1, former Agency assets and the revenues generated by those assets, are maintained in a </w:t>
      </w:r>
      <w:r w:rsidR="00D355A3" w:rsidRPr="00A57DCD">
        <w:rPr>
          <w:rFonts w:cs="Arial"/>
        </w:rPr>
        <w:t>Low- and Moderate-Income</w:t>
      </w:r>
      <w:r w:rsidR="003E4580" w:rsidRPr="00A57DCD">
        <w:rPr>
          <w:rFonts w:cs="Arial"/>
        </w:rPr>
        <w:t xml:space="preserve"> Housing Asset Fund (“Housing Asset Fund”)</w:t>
      </w:r>
      <w:r w:rsidR="003E4580">
        <w:rPr>
          <w:rFonts w:cs="Arial"/>
        </w:rPr>
        <w:t>.</w:t>
      </w:r>
      <w:r w:rsidR="00E36745">
        <w:rPr>
          <w:rStyle w:val="FootnoteReference"/>
          <w:rFonts w:cs="Arial"/>
        </w:rPr>
        <w:footnoteReference w:id="2"/>
      </w:r>
      <w:r w:rsidR="003E4580" w:rsidRPr="00F54D5F">
        <w:rPr>
          <w:rFonts w:cs="Arial"/>
        </w:rPr>
        <w:t xml:space="preserve"> </w:t>
      </w:r>
      <w:r w:rsidR="00F103C9">
        <w:rPr>
          <w:rFonts w:cs="Arial"/>
        </w:rPr>
        <w:t xml:space="preserve">The Housing Asset fund replaced the former Agency’s </w:t>
      </w:r>
      <w:r w:rsidR="00C070BE">
        <w:rPr>
          <w:rFonts w:cs="Arial"/>
        </w:rPr>
        <w:t>Low- and Moderate-Income</w:t>
      </w:r>
      <w:r w:rsidR="009636B0">
        <w:rPr>
          <w:rFonts w:cs="Arial"/>
        </w:rPr>
        <w:t xml:space="preserve"> Housing</w:t>
      </w:r>
      <w:r w:rsidR="007D5735">
        <w:rPr>
          <w:rFonts w:cs="Arial"/>
        </w:rPr>
        <w:t xml:space="preserve"> Fund.</w:t>
      </w:r>
      <w:r w:rsidR="009636B0">
        <w:rPr>
          <w:rFonts w:cs="Arial"/>
        </w:rPr>
        <w:t xml:space="preserve"> </w:t>
      </w:r>
      <w:r w:rsidR="003E4580" w:rsidRPr="00A57DCD">
        <w:rPr>
          <w:rFonts w:cs="Arial"/>
        </w:rPr>
        <w:t xml:space="preserve">Housing Asset Funds may be spent on: </w:t>
      </w:r>
    </w:p>
    <w:p w14:paraId="6F84F706" w14:textId="05FCCEC9" w:rsidR="003E4580" w:rsidRPr="00A57DCD" w:rsidRDefault="003E4580" w:rsidP="003E4580">
      <w:pPr>
        <w:pStyle w:val="RSGBody"/>
        <w:numPr>
          <w:ilvl w:val="0"/>
          <w:numId w:val="13"/>
        </w:numPr>
        <w:rPr>
          <w:rFonts w:cs="Arial"/>
        </w:rPr>
      </w:pPr>
      <w:r w:rsidRPr="00A57DCD">
        <w:rPr>
          <w:rFonts w:cs="Arial"/>
          <w:b/>
          <w:bCs/>
          <w:color w:val="CF4520" w:themeColor="accent6"/>
        </w:rPr>
        <w:t>Administrative costs</w:t>
      </w:r>
      <w:r w:rsidRPr="00A57DCD">
        <w:rPr>
          <w:rFonts w:cs="Arial"/>
          <w:color w:val="CF4520" w:themeColor="accent6"/>
        </w:rPr>
        <w:t xml:space="preserve"> </w:t>
      </w:r>
      <w:r w:rsidRPr="00A57DCD">
        <w:rPr>
          <w:rFonts w:cs="Arial"/>
        </w:rPr>
        <w:t xml:space="preserve">for </w:t>
      </w:r>
      <w:r w:rsidR="00C070BE">
        <w:rPr>
          <w:rFonts w:cs="Arial"/>
        </w:rPr>
        <w:t xml:space="preserve">the </w:t>
      </w:r>
      <w:r w:rsidRPr="00A57DCD">
        <w:rPr>
          <w:rFonts w:cs="Arial"/>
        </w:rPr>
        <w:t>operation of the housing successor agency.  The law allows a housing successor to spend the greater of:</w:t>
      </w:r>
    </w:p>
    <w:p w14:paraId="5B059278" w14:textId="77777777" w:rsidR="003E4580" w:rsidRPr="00A57DCD" w:rsidRDefault="003E4580" w:rsidP="003E4580">
      <w:pPr>
        <w:pStyle w:val="RSGBody"/>
        <w:numPr>
          <w:ilvl w:val="1"/>
          <w:numId w:val="13"/>
        </w:numPr>
        <w:spacing w:after="0" w:line="240" w:lineRule="auto"/>
        <w:rPr>
          <w:rFonts w:cs="Arial"/>
        </w:rPr>
      </w:pPr>
      <w:r w:rsidRPr="00A57DCD">
        <w:rPr>
          <w:rFonts w:cs="Arial"/>
        </w:rPr>
        <w:t xml:space="preserve"> $200,000 per year adjusted annually for inflation, or </w:t>
      </w:r>
    </w:p>
    <w:p w14:paraId="7FD0F801" w14:textId="19D4C000" w:rsidR="003E4580" w:rsidRDefault="003E4580" w:rsidP="003E4580">
      <w:pPr>
        <w:pStyle w:val="RSGBody"/>
        <w:numPr>
          <w:ilvl w:val="1"/>
          <w:numId w:val="13"/>
        </w:numPr>
        <w:rPr>
          <w:rFonts w:cs="Arial"/>
        </w:rPr>
      </w:pPr>
      <w:r w:rsidRPr="00A57DCD">
        <w:rPr>
          <w:rFonts w:cs="Arial"/>
        </w:rPr>
        <w:t xml:space="preserve">5% of the statutory value of real property owned by the housing successor and the value of loans and grants receivable from the HAT (“Portfolio”), whichever is greater.  </w:t>
      </w:r>
    </w:p>
    <w:p w14:paraId="11D67AD2" w14:textId="40D0AB42" w:rsidR="00E10A41" w:rsidRPr="0050681C" w:rsidRDefault="00AF64AB" w:rsidP="0050681C">
      <w:pPr>
        <w:pStyle w:val="RSGBody"/>
        <w:ind w:left="720"/>
      </w:pPr>
      <w:r>
        <w:t>The $200,000 per year adjusted for inflation in FY 20</w:t>
      </w:r>
      <w:r w:rsidR="00D7465E">
        <w:t>2</w:t>
      </w:r>
      <w:r w:rsidR="009D76C6">
        <w:t>2</w:t>
      </w:r>
      <w:r>
        <w:t>-2</w:t>
      </w:r>
      <w:r w:rsidR="007E4D02">
        <w:t>3</w:t>
      </w:r>
      <w:r w:rsidR="001D50D5">
        <w:t xml:space="preserve"> is </w:t>
      </w:r>
      <w:r w:rsidR="00EB0CD7">
        <w:t>$</w:t>
      </w:r>
      <w:r w:rsidR="002B3E82" w:rsidRPr="002B3E82">
        <w:t xml:space="preserve"> $</w:t>
      </w:r>
      <w:r w:rsidR="00170202">
        <w:t>263,100</w:t>
      </w:r>
      <w:r w:rsidR="002B3E82" w:rsidRPr="002B3E82">
        <w:t xml:space="preserve"> </w:t>
      </w:r>
      <w:r w:rsidR="001D50D5">
        <w:t>according to HCD.</w:t>
      </w:r>
      <w:r>
        <w:t xml:space="preserve"> </w:t>
      </w:r>
      <w:r w:rsidR="001D50D5">
        <w:t>The Housing Succe</w:t>
      </w:r>
      <w:r w:rsidR="00463789">
        <w:t>ssor’s FY 20</w:t>
      </w:r>
      <w:r w:rsidR="009363ED">
        <w:t>22-23</w:t>
      </w:r>
      <w:r w:rsidR="00463789">
        <w:t xml:space="preserve"> Por</w:t>
      </w:r>
      <w:r w:rsidR="003F6ED0">
        <w:t xml:space="preserve">tfolio value was </w:t>
      </w:r>
      <w:r w:rsidR="006A551D">
        <w:t>$</w:t>
      </w:r>
      <w:r w:rsidR="009654F6">
        <w:t>6</w:t>
      </w:r>
      <w:r w:rsidR="006A551D">
        <w:t>,</w:t>
      </w:r>
      <w:r w:rsidR="009654F6">
        <w:t>433</w:t>
      </w:r>
      <w:r w:rsidR="008136DE">
        <w:t>,</w:t>
      </w:r>
      <w:r w:rsidR="009654F6">
        <w:t>3</w:t>
      </w:r>
      <w:r w:rsidR="008136DE">
        <w:t xml:space="preserve">66 </w:t>
      </w:r>
      <w:r w:rsidR="003F6ED0">
        <w:t xml:space="preserve">of which </w:t>
      </w:r>
      <w:r w:rsidRPr="00B1238D">
        <w:t xml:space="preserve">5% </w:t>
      </w:r>
      <w:r w:rsidR="003F6ED0">
        <w:t>is</w:t>
      </w:r>
      <w:r w:rsidR="0090493F">
        <w:t xml:space="preserve"> $3</w:t>
      </w:r>
      <w:r w:rsidR="00992AF0">
        <w:t>21</w:t>
      </w:r>
      <w:r w:rsidR="008410B9">
        <w:t>,</w:t>
      </w:r>
      <w:r w:rsidR="00992AF0">
        <w:t>66</w:t>
      </w:r>
      <w:r w:rsidR="008410B9">
        <w:t>8</w:t>
      </w:r>
      <w:r w:rsidR="003F6ED0">
        <w:t xml:space="preserve">. </w:t>
      </w:r>
      <w:r w:rsidR="00BF3674">
        <w:t>The FY 20</w:t>
      </w:r>
      <w:r w:rsidR="009363ED">
        <w:t>22-23</w:t>
      </w:r>
      <w:r w:rsidR="00BF3674">
        <w:t xml:space="preserve"> </w:t>
      </w:r>
      <w:r w:rsidR="009D3480">
        <w:t xml:space="preserve">administrative cost limit is the </w:t>
      </w:r>
      <w:r w:rsidR="009D3480" w:rsidRPr="00B316B7">
        <w:t>higher f</w:t>
      </w:r>
      <w:r w:rsidR="009D3480">
        <w:t xml:space="preserve">igure of </w:t>
      </w:r>
      <w:r w:rsidR="003F4CFE">
        <w:t>$321,668</w:t>
      </w:r>
      <w:r w:rsidR="009D3480">
        <w:t xml:space="preserve">. </w:t>
      </w:r>
    </w:p>
    <w:p w14:paraId="0EC74C95" w14:textId="34D23AE1" w:rsidR="003E4580" w:rsidRDefault="003E4580" w:rsidP="003E4580">
      <w:pPr>
        <w:pStyle w:val="RSGBody"/>
        <w:numPr>
          <w:ilvl w:val="0"/>
          <w:numId w:val="13"/>
        </w:numPr>
        <w:rPr>
          <w:rFonts w:cs="Arial"/>
        </w:rPr>
      </w:pPr>
      <w:r w:rsidRPr="00A57DCD">
        <w:rPr>
          <w:rFonts w:cs="Arial"/>
          <w:b/>
          <w:bCs/>
          <w:color w:val="CF4520" w:themeColor="accent6"/>
        </w:rPr>
        <w:t>Homeless prevention and rapid rehousing services</w:t>
      </w:r>
      <w:r w:rsidRPr="00A57DCD">
        <w:rPr>
          <w:rFonts w:cs="Arial"/>
          <w:color w:val="CF4520" w:themeColor="accent6"/>
        </w:rPr>
        <w:t xml:space="preserve"> </w:t>
      </w:r>
      <w:r w:rsidRPr="00A57DCD">
        <w:rPr>
          <w:rFonts w:cs="Arial"/>
        </w:rPr>
        <w:t xml:space="preserve">up to $250,000 per year if the former redevelopment agency did not have any outstanding inclusionary housing or replacement housing production requirements as of 2012. </w:t>
      </w:r>
      <w:r w:rsidR="006C076C">
        <w:rPr>
          <w:rFonts w:cs="Arial"/>
        </w:rPr>
        <w:t xml:space="preserve"> The City is </w:t>
      </w:r>
      <w:r w:rsidR="007C7E6F">
        <w:rPr>
          <w:rFonts w:cs="Arial"/>
        </w:rPr>
        <w:t>eligible for this expense because the former Agency had met</w:t>
      </w:r>
      <w:r w:rsidR="00F14C2E">
        <w:rPr>
          <w:rFonts w:cs="Arial"/>
        </w:rPr>
        <w:t xml:space="preserve"> its inclusionary housing and replacement housing production requirements upon dissolution</w:t>
      </w:r>
      <w:r w:rsidR="00A37E97">
        <w:rPr>
          <w:rFonts w:cs="Arial"/>
        </w:rPr>
        <w:t>.</w:t>
      </w:r>
    </w:p>
    <w:p w14:paraId="1A19D305" w14:textId="1E117342" w:rsidR="003E4580" w:rsidRPr="00A57DCD" w:rsidRDefault="003E4580" w:rsidP="003E4580">
      <w:pPr>
        <w:pStyle w:val="RSGBody"/>
        <w:numPr>
          <w:ilvl w:val="0"/>
          <w:numId w:val="13"/>
        </w:numPr>
        <w:rPr>
          <w:rFonts w:cs="Arial"/>
        </w:rPr>
      </w:pPr>
      <w:r w:rsidRPr="00A57DCD">
        <w:rPr>
          <w:rFonts w:cs="Arial"/>
          <w:b/>
          <w:bCs/>
          <w:color w:val="CF4520" w:themeColor="accent6"/>
        </w:rPr>
        <w:t>Affordable housing development</w:t>
      </w:r>
      <w:r w:rsidRPr="00A57DCD">
        <w:rPr>
          <w:rFonts w:cs="Arial"/>
          <w:color w:val="CF4520" w:themeColor="accent6"/>
        </w:rPr>
        <w:t xml:space="preserve"> </w:t>
      </w:r>
      <w:r w:rsidR="00251303">
        <w:rPr>
          <w:rFonts w:cs="Arial"/>
        </w:rPr>
        <w:t>assists</w:t>
      </w:r>
      <w:r w:rsidR="00251303" w:rsidRPr="00A57DCD">
        <w:rPr>
          <w:rFonts w:cs="Arial"/>
        </w:rPr>
        <w:t xml:space="preserve"> </w:t>
      </w:r>
      <w:r w:rsidRPr="00A57DCD">
        <w:rPr>
          <w:rFonts w:cs="Arial"/>
        </w:rPr>
        <w:t xml:space="preserve">households up to 80 percent of the Area Median Income (“AMI”), subject to specific income and age targets over a five-year period.  </w:t>
      </w:r>
    </w:p>
    <w:p w14:paraId="006B80EB" w14:textId="49B5379B" w:rsidR="00E272A2" w:rsidRPr="00E36745" w:rsidRDefault="003E4580" w:rsidP="00E36745">
      <w:pPr>
        <w:pStyle w:val="RSGBody"/>
        <w:ind w:left="720"/>
        <w:rPr>
          <w:rFonts w:cs="Arial"/>
        </w:rPr>
      </w:pPr>
      <w:r w:rsidRPr="00A57DCD">
        <w:rPr>
          <w:rFonts w:cs="Arial"/>
          <w:b/>
          <w:bCs/>
          <w:color w:val="425563" w:themeColor="accent3"/>
        </w:rPr>
        <w:t>Five-Year Income Proportionality on Development Expenditures:</w:t>
      </w:r>
      <w:r w:rsidRPr="00A57DCD">
        <w:rPr>
          <w:rFonts w:cs="Arial"/>
          <w:b/>
          <w:bCs/>
          <w:color w:val="CF4520" w:themeColor="accent6"/>
        </w:rPr>
        <w:t xml:space="preserve"> </w:t>
      </w:r>
      <w:r w:rsidRPr="00A57DCD">
        <w:rPr>
          <w:rFonts w:cs="Arial"/>
        </w:rPr>
        <w:t xml:space="preserve">Any Housing Asset Funds may be spent on </w:t>
      </w:r>
      <w:r w:rsidR="00251303">
        <w:rPr>
          <w:rFonts w:cs="Arial"/>
        </w:rPr>
        <w:t xml:space="preserve">the </w:t>
      </w:r>
      <w:r w:rsidRPr="00A57DCD">
        <w:rPr>
          <w:rFonts w:cs="Arial"/>
        </w:rPr>
        <w:t xml:space="preserve">development of affordable housing projects affordable to low, very low, and extremely </w:t>
      </w:r>
      <w:r w:rsidR="003E3AB3" w:rsidRPr="00A57DCD">
        <w:rPr>
          <w:rFonts w:cs="Arial"/>
        </w:rPr>
        <w:t>low-income</w:t>
      </w:r>
      <w:r w:rsidRPr="00A57DCD">
        <w:rPr>
          <w:rFonts w:cs="Arial"/>
        </w:rPr>
        <w:t xml:space="preserve"> households.  “Development” is defined as “new construction”, acquisition and rehabilitation, substantial rehabilitation as defined in HSC Section 33413, the acquisition of long-term affordability covenants on multifamily units as described in HSC Section 33413, or the preservation of an assisted housing development that is eligible for prepayment or termination or for which within the expiration of rental restrictions is scheduled to occur within five years.”  </w:t>
      </w:r>
    </w:p>
    <w:p w14:paraId="6BE0AC7B" w14:textId="4EEF4BB1" w:rsidR="003E4580" w:rsidRPr="00A57DCD" w:rsidRDefault="003E4580" w:rsidP="00C40E00">
      <w:pPr>
        <w:pStyle w:val="RSGBody"/>
        <w:ind w:left="720"/>
        <w:rPr>
          <w:rFonts w:cs="Arial"/>
        </w:rPr>
      </w:pPr>
      <w:r w:rsidRPr="00A57DCD">
        <w:rPr>
          <w:rFonts w:cs="Arial"/>
        </w:rPr>
        <w:t xml:space="preserve">Over each five-year compliance period, the current one beginning July 1, 2019, </w:t>
      </w:r>
      <w:r w:rsidRPr="00A57DCD">
        <w:rPr>
          <w:rFonts w:cs="Arial"/>
          <w:u w:val="single"/>
        </w:rPr>
        <w:t>at least</w:t>
      </w:r>
      <w:r w:rsidRPr="00A57DCD">
        <w:rPr>
          <w:rFonts w:cs="Arial"/>
        </w:rPr>
        <w:t xml:space="preserve"> 30 percent of such development expenditures must assist extremely </w:t>
      </w:r>
      <w:r w:rsidR="003E3AB3" w:rsidRPr="00A57DCD">
        <w:rPr>
          <w:rFonts w:cs="Arial"/>
        </w:rPr>
        <w:t>low-income</w:t>
      </w:r>
      <w:r w:rsidRPr="00A57DCD">
        <w:rPr>
          <w:rFonts w:cs="Arial"/>
        </w:rPr>
        <w:t xml:space="preserve"> households (30% of AMI), while </w:t>
      </w:r>
      <w:r w:rsidRPr="00B21CAD">
        <w:rPr>
          <w:rFonts w:cs="Arial"/>
        </w:rPr>
        <w:t>no more</w:t>
      </w:r>
      <w:r w:rsidRPr="00A57DCD">
        <w:rPr>
          <w:rFonts w:cs="Arial"/>
        </w:rPr>
        <w:t xml:space="preserve"> than 20 percent may assist </w:t>
      </w:r>
      <w:r w:rsidR="00190C77" w:rsidRPr="00A57DCD">
        <w:rPr>
          <w:rFonts w:cs="Arial"/>
        </w:rPr>
        <w:t>low-income</w:t>
      </w:r>
      <w:r w:rsidRPr="00A57DCD">
        <w:rPr>
          <w:rFonts w:cs="Arial"/>
        </w:rPr>
        <w:t xml:space="preserve"> households (between 60-80% of AMI).   The balance of the funds may be used on very </w:t>
      </w:r>
      <w:r w:rsidR="003E3AB3" w:rsidRPr="00A57DCD">
        <w:rPr>
          <w:rFonts w:cs="Arial"/>
        </w:rPr>
        <w:t>low-income</w:t>
      </w:r>
      <w:r w:rsidRPr="00A57DCD">
        <w:rPr>
          <w:rFonts w:cs="Arial"/>
        </w:rPr>
        <w:t xml:space="preserve"> households (defined as households earning between 30% and 60% of AMI).  </w:t>
      </w:r>
    </w:p>
    <w:p w14:paraId="2545EB7D" w14:textId="16205ACE" w:rsidR="003E4580" w:rsidRPr="00A57DCD" w:rsidRDefault="003E4580" w:rsidP="003C3A47">
      <w:pPr>
        <w:pStyle w:val="RSGBody"/>
        <w:ind w:left="720"/>
        <w:rPr>
          <w:rFonts w:cs="Arial"/>
        </w:rPr>
      </w:pPr>
      <w:r w:rsidRPr="00A57DCD">
        <w:rPr>
          <w:rFonts w:cs="Arial"/>
        </w:rPr>
        <w:t xml:space="preserve">The </w:t>
      </w:r>
      <w:r w:rsidR="00094337">
        <w:rPr>
          <w:rFonts w:cs="Arial"/>
        </w:rPr>
        <w:t>Housing Successor was in compliance</w:t>
      </w:r>
      <w:r w:rsidR="00985119">
        <w:rPr>
          <w:rFonts w:cs="Arial"/>
        </w:rPr>
        <w:t xml:space="preserve"> during</w:t>
      </w:r>
      <w:r w:rsidR="00094337">
        <w:rPr>
          <w:rFonts w:cs="Arial"/>
        </w:rPr>
        <w:t xml:space="preserve"> the </w:t>
      </w:r>
      <w:r w:rsidRPr="00A57DCD">
        <w:rPr>
          <w:rFonts w:cs="Arial"/>
        </w:rPr>
        <w:t xml:space="preserve">first five-year compliance period </w:t>
      </w:r>
      <w:r w:rsidR="00615A76">
        <w:rPr>
          <w:rFonts w:cs="Arial"/>
        </w:rPr>
        <w:t xml:space="preserve">which </w:t>
      </w:r>
      <w:r w:rsidRPr="00A57DCD">
        <w:rPr>
          <w:rFonts w:cs="Arial"/>
        </w:rPr>
        <w:t xml:space="preserve">was </w:t>
      </w:r>
      <w:r w:rsidR="00251303">
        <w:rPr>
          <w:rFonts w:cs="Arial"/>
        </w:rPr>
        <w:t xml:space="preserve">from </w:t>
      </w:r>
      <w:r w:rsidRPr="00A57DCD">
        <w:rPr>
          <w:rFonts w:cs="Arial"/>
        </w:rPr>
        <w:t xml:space="preserve">January 1, </w:t>
      </w:r>
      <w:r w:rsidR="00190C77" w:rsidRPr="00A57DCD">
        <w:rPr>
          <w:rFonts w:cs="Arial"/>
        </w:rPr>
        <w:t>2014,</w:t>
      </w:r>
      <w:r w:rsidRPr="00A57DCD">
        <w:rPr>
          <w:rFonts w:cs="Arial"/>
        </w:rPr>
        <w:t xml:space="preserve"> through June 30, 2019. The </w:t>
      </w:r>
      <w:r w:rsidR="007172F5">
        <w:rPr>
          <w:rFonts w:cs="Arial"/>
        </w:rPr>
        <w:t xml:space="preserve">second, and </w:t>
      </w:r>
      <w:r w:rsidRPr="00A57DCD">
        <w:rPr>
          <w:rFonts w:cs="Arial"/>
        </w:rPr>
        <w:t>current</w:t>
      </w:r>
      <w:r w:rsidR="007172F5">
        <w:rPr>
          <w:rFonts w:cs="Arial"/>
        </w:rPr>
        <w:t>,</w:t>
      </w:r>
      <w:r w:rsidRPr="00A57DCD">
        <w:rPr>
          <w:rFonts w:cs="Arial"/>
        </w:rPr>
        <w:t xml:space="preserve"> five-year compliance period is </w:t>
      </w:r>
      <w:r w:rsidR="00251303">
        <w:rPr>
          <w:rFonts w:cs="Arial"/>
        </w:rPr>
        <w:t xml:space="preserve">from </w:t>
      </w:r>
      <w:r w:rsidRPr="00A57DCD">
        <w:rPr>
          <w:rFonts w:cs="Arial"/>
        </w:rPr>
        <w:t xml:space="preserve">July 1, </w:t>
      </w:r>
      <w:r w:rsidR="00190C77" w:rsidRPr="00A57DCD">
        <w:rPr>
          <w:rFonts w:cs="Arial"/>
        </w:rPr>
        <w:t>2019,</w:t>
      </w:r>
      <w:r w:rsidRPr="00A57DCD">
        <w:rPr>
          <w:rFonts w:cs="Arial"/>
        </w:rPr>
        <w:t xml:space="preserve"> to June 30, 2024.</w:t>
      </w:r>
    </w:p>
    <w:p w14:paraId="0667D72E" w14:textId="72C4D700" w:rsidR="003E4580" w:rsidRPr="00A57DCD" w:rsidRDefault="003E4580" w:rsidP="003C3A47">
      <w:pPr>
        <w:pStyle w:val="RSGBody"/>
        <w:ind w:left="720"/>
        <w:rPr>
          <w:rFonts w:cs="Arial"/>
        </w:rPr>
      </w:pPr>
      <w:r w:rsidRPr="64C08EF6">
        <w:rPr>
          <w:rFonts w:cs="Arial"/>
        </w:rPr>
        <w:t xml:space="preserve">Note that housing successors must report expenditures by category each year, but compliance with income proportionality limits is measured every five years. For example, a housing successor could spend all its funds in a single year on households earning between 60-80% of AMI, </w:t>
      </w:r>
      <w:r w:rsidR="00190C77" w:rsidRPr="64C08EF6">
        <w:rPr>
          <w:rFonts w:cs="Arial"/>
        </w:rPr>
        <w:t>if</w:t>
      </w:r>
      <w:r w:rsidRPr="64C08EF6">
        <w:rPr>
          <w:rFonts w:cs="Arial"/>
        </w:rPr>
        <w:t xml:space="preserve"> it was 20 percent or less of the total expenditures during the five-year compliance period.</w:t>
      </w:r>
    </w:p>
    <w:p w14:paraId="58B6BF19" w14:textId="1E7F78D4" w:rsidR="003E4580" w:rsidRPr="00A57DCD" w:rsidRDefault="003E4580" w:rsidP="003C3A47">
      <w:pPr>
        <w:pStyle w:val="RSGBody"/>
        <w:ind w:left="720"/>
        <w:rPr>
          <w:rFonts w:cs="Arial"/>
        </w:rPr>
      </w:pPr>
      <w:r w:rsidRPr="00A57DCD">
        <w:rPr>
          <w:rFonts w:cs="Arial"/>
        </w:rPr>
        <w:t xml:space="preserve">Should a housing successor not spend at least 30% of its development expenditures </w:t>
      </w:r>
      <w:r w:rsidR="00E00CC9">
        <w:rPr>
          <w:rFonts w:cs="Arial"/>
        </w:rPr>
        <w:t>on</w:t>
      </w:r>
      <w:r w:rsidRPr="00A57DCD">
        <w:rPr>
          <w:rFonts w:cs="Arial"/>
        </w:rPr>
        <w:t xml:space="preserve"> extremely </w:t>
      </w:r>
      <w:r w:rsidR="00190C77" w:rsidRPr="00A57DCD">
        <w:rPr>
          <w:rFonts w:cs="Arial"/>
        </w:rPr>
        <w:t>low-income</w:t>
      </w:r>
      <w:r w:rsidRPr="00A57DCD">
        <w:rPr>
          <w:rFonts w:cs="Arial"/>
        </w:rPr>
        <w:t xml:space="preserve"> households, or exceeds the amount spent on </w:t>
      </w:r>
      <w:r w:rsidR="00190C77" w:rsidRPr="00A57DCD">
        <w:rPr>
          <w:rFonts w:cs="Arial"/>
        </w:rPr>
        <w:t>low-income</w:t>
      </w:r>
      <w:r w:rsidRPr="00A57DCD">
        <w:rPr>
          <w:rFonts w:cs="Arial"/>
        </w:rPr>
        <w:t xml:space="preserve"> households, future expenditures are subject to greater restriction until these proportionality targets are met.  </w:t>
      </w:r>
    </w:p>
    <w:p w14:paraId="75CE158B" w14:textId="1B4B2C4B" w:rsidR="003E4580" w:rsidRPr="00A57DCD" w:rsidRDefault="003E4580" w:rsidP="003C3A47">
      <w:pPr>
        <w:pStyle w:val="RSGBody"/>
        <w:ind w:left="720"/>
        <w:rPr>
          <w:rFonts w:cs="Arial"/>
        </w:rPr>
      </w:pPr>
      <w:r w:rsidRPr="00A57DCD">
        <w:rPr>
          <w:rFonts w:cs="Arial"/>
        </w:rPr>
        <w:t xml:space="preserve">Specifically, if a housing successor is unable to spend at least 30% of its development expenditures on extremely low units, it is required to increase this spending to 50% until compliant with the 30% threshold; a housing successor that spends more than 20% of its development expenditures on </w:t>
      </w:r>
      <w:r w:rsidR="00190C77" w:rsidRPr="00A57DCD">
        <w:rPr>
          <w:rFonts w:cs="Arial"/>
        </w:rPr>
        <w:t>low-income</w:t>
      </w:r>
      <w:r w:rsidRPr="00A57DCD">
        <w:rPr>
          <w:rFonts w:cs="Arial"/>
        </w:rPr>
        <w:t xml:space="preserve"> units cannot spend any further funds on </w:t>
      </w:r>
      <w:r w:rsidR="00E00CC9" w:rsidRPr="00A57DCD">
        <w:rPr>
          <w:rFonts w:cs="Arial"/>
        </w:rPr>
        <w:t>low-income</w:t>
      </w:r>
      <w:r w:rsidRPr="00A57DCD">
        <w:rPr>
          <w:rFonts w:cs="Arial"/>
        </w:rPr>
        <w:t xml:space="preserve"> developments until it is at or below the 20% threshold.  </w:t>
      </w:r>
    </w:p>
    <w:p w14:paraId="7E1D722C" w14:textId="77777777" w:rsidR="003E4580" w:rsidRPr="00A57DCD" w:rsidRDefault="003E4580" w:rsidP="003C3A47">
      <w:pPr>
        <w:pStyle w:val="RSGBody"/>
        <w:ind w:left="720"/>
        <w:rPr>
          <w:rFonts w:cs="Arial"/>
        </w:rPr>
      </w:pPr>
      <w:r w:rsidRPr="00A57DCD">
        <w:rPr>
          <w:rFonts w:cs="Arial"/>
        </w:rPr>
        <w:t>As such, tracking these expenditures and their progress over the corresponding five-year period is an important function of this Annual Report.</w:t>
      </w:r>
    </w:p>
    <w:p w14:paraId="4AB20BC7" w14:textId="0EE5AF00" w:rsidR="003E4580" w:rsidRPr="00A57DCD" w:rsidRDefault="003E4580" w:rsidP="003C3A47">
      <w:pPr>
        <w:pStyle w:val="RSGBody"/>
        <w:ind w:left="720"/>
        <w:rPr>
          <w:rFonts w:cs="Arial"/>
        </w:rPr>
      </w:pPr>
      <w:r w:rsidRPr="00A57DCD">
        <w:rPr>
          <w:rFonts w:cs="Arial"/>
          <w:b/>
          <w:bCs/>
          <w:color w:val="425563" w:themeColor="accent3"/>
        </w:rPr>
        <w:t>Ten-Year Age Proportionality</w:t>
      </w:r>
      <w:r w:rsidR="001D1F77">
        <w:rPr>
          <w:rFonts w:cs="Arial"/>
          <w:b/>
          <w:bCs/>
          <w:color w:val="425563" w:themeColor="accent3"/>
        </w:rPr>
        <w:t xml:space="preserve"> on Units </w:t>
      </w:r>
      <w:r w:rsidR="00112CE0">
        <w:rPr>
          <w:rFonts w:cs="Arial"/>
          <w:b/>
          <w:bCs/>
          <w:color w:val="425563" w:themeColor="accent3"/>
        </w:rPr>
        <w:t>Assisted</w:t>
      </w:r>
      <w:r w:rsidRPr="00A57DCD">
        <w:rPr>
          <w:rFonts w:cs="Arial"/>
          <w:b/>
          <w:bCs/>
          <w:color w:val="425563" w:themeColor="accent3"/>
        </w:rPr>
        <w:t>:</w:t>
      </w:r>
      <w:r w:rsidRPr="00A57DCD">
        <w:rPr>
          <w:rFonts w:cs="Arial"/>
          <w:color w:val="425563" w:themeColor="accent3"/>
        </w:rPr>
        <w:t xml:space="preserve"> </w:t>
      </w:r>
      <w:r w:rsidRPr="00A57DCD">
        <w:rPr>
          <w:rFonts w:cs="Arial"/>
        </w:rPr>
        <w:t xml:space="preserve">If more than 50% of the total aggregate number of rental units produced by the city, housing successor, or former redevelopment agency during the past 10 years are restricted to seniors, the housing successor may not spend more Housing Asset Funds on senior rental housing. </w:t>
      </w:r>
    </w:p>
    <w:p w14:paraId="2B7AACA2" w14:textId="77777777" w:rsidR="003E4580" w:rsidRPr="00A57DCD" w:rsidRDefault="003E4580" w:rsidP="003E4580">
      <w:pPr>
        <w:pStyle w:val="RSGBody"/>
        <w:rPr>
          <w:rFonts w:cs="Arial"/>
        </w:rPr>
      </w:pPr>
      <w:r w:rsidRPr="00A57DCD">
        <w:rPr>
          <w:rFonts w:cs="Arial"/>
        </w:rPr>
        <w:t>It is important to stress that Housing Successor expenditure and production requirements are measured on different timeframes:</w:t>
      </w:r>
    </w:p>
    <w:p w14:paraId="1C3D8670" w14:textId="1F1A9050" w:rsidR="003E4580" w:rsidRPr="00A57DCD" w:rsidRDefault="003E4580" w:rsidP="003E4580">
      <w:pPr>
        <w:pStyle w:val="RSGBody"/>
        <w:keepLines/>
        <w:numPr>
          <w:ilvl w:val="0"/>
          <w:numId w:val="13"/>
        </w:numPr>
        <w:rPr>
          <w:rFonts w:cs="Arial"/>
          <w:color w:val="292B2D" w:themeColor="text1" w:themeShade="80"/>
        </w:rPr>
      </w:pPr>
      <w:r w:rsidRPr="00A57DCD">
        <w:rPr>
          <w:rFonts w:cs="Arial"/>
          <w:b/>
          <w:bCs/>
          <w:color w:val="ED8B00" w:themeColor="text2"/>
        </w:rPr>
        <w:t>One-Year Limits:</w:t>
      </w:r>
      <w:r w:rsidRPr="00A57DCD">
        <w:rPr>
          <w:rFonts w:cs="Arial"/>
          <w:color w:val="ED8B00" w:themeColor="text2"/>
        </w:rPr>
        <w:t xml:space="preserve">  </w:t>
      </w:r>
      <w:r w:rsidRPr="00A57DCD">
        <w:rPr>
          <w:rFonts w:cs="Arial"/>
          <w:color w:val="292B2D" w:themeColor="text1" w:themeShade="80"/>
        </w:rPr>
        <w:t xml:space="preserve">Administrative Allowance and Homeless Prevention Allowance.  Compliance </w:t>
      </w:r>
      <w:r w:rsidR="00E00CC9">
        <w:rPr>
          <w:rFonts w:cs="Arial"/>
          <w:color w:val="292B2D" w:themeColor="text1" w:themeShade="80"/>
        </w:rPr>
        <w:t xml:space="preserve">is </w:t>
      </w:r>
      <w:r w:rsidRPr="00A57DCD">
        <w:rPr>
          <w:rFonts w:cs="Arial"/>
          <w:color w:val="292B2D" w:themeColor="text1" w:themeShade="80"/>
        </w:rPr>
        <w:t>evaluated annually and resets every year.</w:t>
      </w:r>
    </w:p>
    <w:p w14:paraId="7F5B4A61" w14:textId="642DA4AE" w:rsidR="003E4580" w:rsidRPr="00A57DCD" w:rsidRDefault="003E4580" w:rsidP="003E4580">
      <w:pPr>
        <w:pStyle w:val="RSGBody"/>
        <w:keepLines/>
        <w:numPr>
          <w:ilvl w:val="0"/>
          <w:numId w:val="13"/>
        </w:numPr>
        <w:rPr>
          <w:rFonts w:cs="Arial"/>
        </w:rPr>
      </w:pPr>
      <w:r w:rsidRPr="00A57DCD">
        <w:rPr>
          <w:rFonts w:cs="Arial"/>
          <w:b/>
          <w:bCs/>
          <w:color w:val="ED8B00" w:themeColor="text2"/>
        </w:rPr>
        <w:t>Five-Year Limit:</w:t>
      </w:r>
      <w:r w:rsidRPr="00A57DCD">
        <w:rPr>
          <w:rFonts w:cs="Arial"/>
          <w:color w:val="ED8B00" w:themeColor="text2"/>
        </w:rPr>
        <w:t xml:space="preserve"> </w:t>
      </w:r>
      <w:r w:rsidRPr="00A57DCD">
        <w:rPr>
          <w:rFonts w:cs="Arial"/>
        </w:rPr>
        <w:t xml:space="preserve">Expenditures by Income Level.  Compliance </w:t>
      </w:r>
      <w:r w:rsidR="00E00CC9">
        <w:rPr>
          <w:rFonts w:cs="Arial"/>
        </w:rPr>
        <w:t xml:space="preserve">is </w:t>
      </w:r>
      <w:r w:rsidRPr="00A57DCD">
        <w:rPr>
          <w:rFonts w:cs="Arial"/>
        </w:rPr>
        <w:t xml:space="preserve">evaluated over a fixed five-year period set by law, the current period being July 1, </w:t>
      </w:r>
      <w:r w:rsidR="00190C77" w:rsidRPr="00A57DCD">
        <w:rPr>
          <w:rFonts w:cs="Arial"/>
        </w:rPr>
        <w:t>2019,</w:t>
      </w:r>
      <w:r w:rsidRPr="00A57DCD">
        <w:rPr>
          <w:rFonts w:cs="Arial"/>
        </w:rPr>
        <w:t xml:space="preserve"> to June 30, 2024.</w:t>
      </w:r>
    </w:p>
    <w:p w14:paraId="6C416751" w14:textId="446010FC" w:rsidR="003E4580" w:rsidRPr="00A57DCD" w:rsidRDefault="003E4580" w:rsidP="003E4580">
      <w:pPr>
        <w:pStyle w:val="RSGBody"/>
        <w:numPr>
          <w:ilvl w:val="0"/>
          <w:numId w:val="13"/>
        </w:numPr>
        <w:rPr>
          <w:rFonts w:cs="Arial"/>
          <w:color w:val="292B2D" w:themeColor="text1" w:themeShade="80"/>
        </w:rPr>
      </w:pPr>
      <w:r w:rsidRPr="00A57DCD">
        <w:rPr>
          <w:rFonts w:cs="Arial"/>
          <w:b/>
          <w:bCs/>
          <w:color w:val="ED8B00" w:themeColor="text2"/>
        </w:rPr>
        <w:t>Ten-Year Limit:</w:t>
      </w:r>
      <w:r w:rsidRPr="00A57DCD">
        <w:rPr>
          <w:rFonts w:cs="Arial"/>
          <w:color w:val="ED8B00" w:themeColor="text2"/>
        </w:rPr>
        <w:t xml:space="preserve">  </w:t>
      </w:r>
      <w:r w:rsidRPr="00A57DCD">
        <w:rPr>
          <w:rFonts w:cs="Arial"/>
          <w:color w:val="292B2D" w:themeColor="text1" w:themeShade="80"/>
        </w:rPr>
        <w:t xml:space="preserve">Number of Senior Deed-Restricted Units Assisted.  Compliance </w:t>
      </w:r>
      <w:r w:rsidR="00E00CC9">
        <w:rPr>
          <w:rFonts w:cs="Arial"/>
          <w:color w:val="292B2D" w:themeColor="text1" w:themeShade="80"/>
        </w:rPr>
        <w:t xml:space="preserve">is </w:t>
      </w:r>
      <w:r w:rsidRPr="00A57DCD">
        <w:rPr>
          <w:rFonts w:cs="Arial"/>
          <w:color w:val="292B2D" w:themeColor="text1" w:themeShade="80"/>
        </w:rPr>
        <w:t>evaluated based on a rolling ten-year period that is different every year, the current period being FY 201</w:t>
      </w:r>
      <w:r w:rsidR="00E00CC9">
        <w:rPr>
          <w:rFonts w:cs="Arial"/>
          <w:color w:val="292B2D" w:themeColor="text1" w:themeShade="80"/>
        </w:rPr>
        <w:t>2</w:t>
      </w:r>
      <w:r w:rsidRPr="00A57DCD">
        <w:rPr>
          <w:rFonts w:cs="Arial"/>
          <w:color w:val="292B2D" w:themeColor="text1" w:themeShade="80"/>
        </w:rPr>
        <w:t>-1</w:t>
      </w:r>
      <w:r w:rsidR="00E00CC9">
        <w:rPr>
          <w:rFonts w:cs="Arial"/>
          <w:color w:val="292B2D" w:themeColor="text1" w:themeShade="80"/>
        </w:rPr>
        <w:t>3</w:t>
      </w:r>
      <w:r w:rsidRPr="00A57DCD">
        <w:rPr>
          <w:rFonts w:cs="Arial"/>
          <w:color w:val="292B2D" w:themeColor="text1" w:themeShade="80"/>
        </w:rPr>
        <w:t xml:space="preserve"> to 20</w:t>
      </w:r>
      <w:r w:rsidR="009363ED">
        <w:rPr>
          <w:rFonts w:cs="Arial"/>
          <w:color w:val="292B2D" w:themeColor="text1" w:themeShade="80"/>
        </w:rPr>
        <w:t>22-23</w:t>
      </w:r>
      <w:r w:rsidRPr="00A57DCD">
        <w:rPr>
          <w:rFonts w:cs="Arial"/>
          <w:color w:val="292B2D" w:themeColor="text1" w:themeShade="80"/>
        </w:rPr>
        <w:t>.</w:t>
      </w:r>
    </w:p>
    <w:p w14:paraId="242586D6" w14:textId="4E8F508D" w:rsidR="003E4580" w:rsidRPr="00A57DCD" w:rsidRDefault="003E4580" w:rsidP="003E4580">
      <w:pPr>
        <w:pStyle w:val="RSGBody"/>
        <w:rPr>
          <w:rFonts w:cs="Arial"/>
        </w:rPr>
      </w:pPr>
      <w:r w:rsidRPr="00A57DCD">
        <w:rPr>
          <w:rFonts w:cs="Arial"/>
        </w:rPr>
        <w:t xml:space="preserve">Appendix </w:t>
      </w:r>
      <w:r w:rsidR="007172F5">
        <w:rPr>
          <w:rFonts w:cs="Arial"/>
        </w:rPr>
        <w:t>3</w:t>
      </w:r>
      <w:r w:rsidRPr="00A57DCD">
        <w:rPr>
          <w:rFonts w:cs="Arial"/>
        </w:rPr>
        <w:t xml:space="preserve"> describes Housing Asset Fund expenditure requirements in more detail, including the types of costs eligible in each category.</w:t>
      </w:r>
    </w:p>
    <w:p w14:paraId="44415E9C" w14:textId="77777777" w:rsidR="00D4067F" w:rsidRPr="00A57DCD" w:rsidRDefault="00D4067F" w:rsidP="00D4067F">
      <w:pPr>
        <w:pStyle w:val="RSGHeading02"/>
      </w:pPr>
      <w:bookmarkStart w:id="48" w:name="_Toc64463466"/>
      <w:bookmarkStart w:id="49" w:name="_Toc160613158"/>
      <w:r w:rsidRPr="008C1425">
        <w:t>Limits on the Accumulation of Housing Funds (Excess Surplus)</w:t>
      </w:r>
      <w:bookmarkEnd w:id="48"/>
      <w:bookmarkEnd w:id="49"/>
      <w:r w:rsidRPr="008C1425">
        <w:t> </w:t>
      </w:r>
    </w:p>
    <w:p w14:paraId="6C070DCC" w14:textId="77777777" w:rsidR="00E21DD1" w:rsidRPr="00A57DCD" w:rsidRDefault="00E21DD1" w:rsidP="00E21DD1">
      <w:pPr>
        <w:pStyle w:val="RSGBody"/>
        <w:rPr>
          <w:rFonts w:cs="Arial"/>
        </w:rPr>
      </w:pPr>
      <w:r w:rsidRPr="00A57DCD">
        <w:rPr>
          <w:rFonts w:cs="Arial"/>
        </w:rPr>
        <w:t xml:space="preserve">State law limits how much cash a housing successor may retain and, if it fails to commit and spend these dollars in a reasonable timeframe, ultimately penalizes the housing successor by requiring unspent funds to be transferred to HCD for use on State housing programs. </w:t>
      </w:r>
    </w:p>
    <w:p w14:paraId="65A93A00" w14:textId="77777777" w:rsidR="00E21DD1" w:rsidRPr="00A57DCD" w:rsidRDefault="00E21DD1" w:rsidP="00E21DD1">
      <w:pPr>
        <w:pStyle w:val="RSGBody"/>
        <w:rPr>
          <w:rFonts w:cs="Arial"/>
        </w:rPr>
      </w:pPr>
      <w:r w:rsidRPr="00A57DCD">
        <w:rPr>
          <w:rFonts w:cs="Arial"/>
        </w:rPr>
        <w:t xml:space="preserve"> HSC Section 34176.1(d) establishes a limit, known as an “excess surplus” on the amount of unencumbered Housing Asset Funds based on the greater of the following:</w:t>
      </w:r>
    </w:p>
    <w:p w14:paraId="28230B9C" w14:textId="77777777" w:rsidR="00E21DD1" w:rsidRPr="00A57DCD" w:rsidRDefault="00E21DD1" w:rsidP="00E21DD1">
      <w:pPr>
        <w:pStyle w:val="RSGBody"/>
        <w:numPr>
          <w:ilvl w:val="0"/>
          <w:numId w:val="20"/>
        </w:numPr>
        <w:rPr>
          <w:rFonts w:cs="Arial"/>
        </w:rPr>
      </w:pPr>
      <w:r w:rsidRPr="00A57DCD">
        <w:rPr>
          <w:rFonts w:cs="Arial"/>
        </w:rPr>
        <w:t>$1,000,000, or</w:t>
      </w:r>
    </w:p>
    <w:p w14:paraId="638131F1" w14:textId="77777777" w:rsidR="00E21DD1" w:rsidRPr="00A57DCD" w:rsidRDefault="00E21DD1" w:rsidP="00E21DD1">
      <w:pPr>
        <w:pStyle w:val="RSGBody"/>
        <w:numPr>
          <w:ilvl w:val="0"/>
          <w:numId w:val="20"/>
        </w:numPr>
        <w:rPr>
          <w:rFonts w:cs="Arial"/>
        </w:rPr>
      </w:pPr>
      <w:r w:rsidRPr="00A57DCD">
        <w:rPr>
          <w:rFonts w:cs="Arial"/>
        </w:rPr>
        <w:t>The total amount of deposits made into the Housing Asset Fund over the preceding four years.</w:t>
      </w:r>
    </w:p>
    <w:p w14:paraId="6E65D552" w14:textId="61CDB7F1" w:rsidR="00E21DD1" w:rsidRPr="00A57DCD" w:rsidRDefault="00E21DD1" w:rsidP="00E21DD1">
      <w:pPr>
        <w:pStyle w:val="RSGBody"/>
        <w:rPr>
          <w:rFonts w:cs="Arial"/>
        </w:rPr>
      </w:pPr>
      <w:r w:rsidRPr="00A57DCD">
        <w:rPr>
          <w:rFonts w:cs="Arial"/>
        </w:rPr>
        <w:t xml:space="preserve">Only amounts </w:t>
      </w:r>
      <w:r w:rsidR="00153C5A">
        <w:rPr>
          <w:rFonts w:cs="Arial"/>
        </w:rPr>
        <w:t>more than</w:t>
      </w:r>
      <w:r w:rsidRPr="00A57DCD">
        <w:rPr>
          <w:rFonts w:cs="Arial"/>
        </w:rPr>
        <w:t xml:space="preserve"> this threshold are considered an excess surplus.  Once an excess surplus is determined, a housing successor must account for these funds separately and encumber said monies within three years.  If after the third year</w:t>
      </w:r>
      <w:r w:rsidR="003E3078">
        <w:rPr>
          <w:rFonts w:cs="Arial"/>
        </w:rPr>
        <w:t>,</w:t>
      </w:r>
      <w:r w:rsidRPr="00A57DCD">
        <w:rPr>
          <w:rFonts w:cs="Arial"/>
        </w:rPr>
        <w:t xml:space="preserve"> the excess surplus has not been fully encumbered, the remaining balance of the excess surplus is to be transferred to HCD within 90 days.  HCD is permitted to use these transferred excess surplus funds anywhere in the State under its Multifamily Housing Program or the Joe Serna, Jr. Farmworker Housing Grant Program.  </w:t>
      </w:r>
    </w:p>
    <w:p w14:paraId="0DCF5A7E" w14:textId="6B087110" w:rsidR="00554197" w:rsidRPr="000327DD" w:rsidRDefault="00E21DD1" w:rsidP="00475336">
      <w:pPr>
        <w:pStyle w:val="RSGBody"/>
        <w:rPr>
          <w:rFonts w:cs="Arial"/>
        </w:rPr>
      </w:pPr>
      <w:r w:rsidRPr="00A57DCD">
        <w:rPr>
          <w:rFonts w:cs="Arial"/>
        </w:rPr>
        <w:t>As part of the Annual Report, a housing successor must disclose any excess surplus and describe the housing successor’s plan for eliminating this excess surplus.</w:t>
      </w:r>
    </w:p>
    <w:p w14:paraId="6D5286E1" w14:textId="35D4D25A" w:rsidR="00671B1E" w:rsidRPr="00754607" w:rsidRDefault="00286497" w:rsidP="00FB1527">
      <w:pPr>
        <w:pStyle w:val="RSGHeading01"/>
      </w:pPr>
      <w:bookmarkStart w:id="50" w:name="_Toc160613159"/>
      <w:r>
        <w:t>Housing Asset Fund Activity</w:t>
      </w:r>
      <w:bookmarkEnd w:id="50"/>
    </w:p>
    <w:p w14:paraId="4F42896F" w14:textId="5C049AED" w:rsidR="000327DD" w:rsidRPr="00A57DCD" w:rsidRDefault="000327DD" w:rsidP="000327DD">
      <w:pPr>
        <w:pStyle w:val="RSGBody"/>
        <w:rPr>
          <w:rFonts w:cs="Arial"/>
        </w:rPr>
      </w:pPr>
      <w:r w:rsidRPr="00A57DCD">
        <w:rPr>
          <w:rFonts w:cs="Arial"/>
        </w:rPr>
        <w:t xml:space="preserve">This </w:t>
      </w:r>
      <w:r>
        <w:rPr>
          <w:rFonts w:cs="Arial"/>
        </w:rPr>
        <w:t>s</w:t>
      </w:r>
      <w:r w:rsidRPr="00A57DCD">
        <w:rPr>
          <w:rFonts w:cs="Arial"/>
        </w:rPr>
        <w:t xml:space="preserve">ection summarizes the </w:t>
      </w:r>
      <w:r>
        <w:rPr>
          <w:rFonts w:cs="Arial"/>
        </w:rPr>
        <w:t xml:space="preserve">Housing </w:t>
      </w:r>
      <w:r w:rsidR="00D2530D">
        <w:rPr>
          <w:rFonts w:cs="Arial"/>
        </w:rPr>
        <w:t>Asset Fund activitie</w:t>
      </w:r>
      <w:r w:rsidR="00903C06">
        <w:rPr>
          <w:rFonts w:cs="Arial"/>
        </w:rPr>
        <w:t>s</w:t>
      </w:r>
      <w:r w:rsidRPr="00A57DCD">
        <w:rPr>
          <w:rFonts w:cs="Arial"/>
        </w:rPr>
        <w:t xml:space="preserve"> of </w:t>
      </w:r>
      <w:r w:rsidR="005D70AA">
        <w:rPr>
          <w:rFonts w:cs="Arial"/>
        </w:rPr>
        <w:t xml:space="preserve">the </w:t>
      </w:r>
      <w:r w:rsidR="00903C06">
        <w:rPr>
          <w:rFonts w:cs="Arial"/>
        </w:rPr>
        <w:t>H</w:t>
      </w:r>
      <w:r w:rsidRPr="00A57DCD">
        <w:rPr>
          <w:rFonts w:cs="Arial"/>
        </w:rPr>
        <w:t xml:space="preserve">ousing </w:t>
      </w:r>
      <w:r w:rsidR="00903C06">
        <w:rPr>
          <w:rFonts w:cs="Arial"/>
        </w:rPr>
        <w:t>S</w:t>
      </w:r>
      <w:r w:rsidRPr="00A57DCD">
        <w:rPr>
          <w:rFonts w:cs="Arial"/>
        </w:rPr>
        <w:t>uccessor</w:t>
      </w:r>
      <w:r w:rsidR="00903C06">
        <w:rPr>
          <w:rFonts w:cs="Arial"/>
        </w:rPr>
        <w:t xml:space="preserve"> for FY 20</w:t>
      </w:r>
      <w:r w:rsidR="00391479">
        <w:rPr>
          <w:rFonts w:cs="Arial"/>
        </w:rPr>
        <w:t>2</w:t>
      </w:r>
      <w:r w:rsidR="00B87138">
        <w:rPr>
          <w:rFonts w:cs="Arial"/>
        </w:rPr>
        <w:t>2</w:t>
      </w:r>
      <w:r w:rsidR="00903C06">
        <w:rPr>
          <w:rFonts w:cs="Arial"/>
        </w:rPr>
        <w:t>-2</w:t>
      </w:r>
      <w:r w:rsidR="00B87138">
        <w:rPr>
          <w:rFonts w:cs="Arial"/>
        </w:rPr>
        <w:t>3</w:t>
      </w:r>
      <w:r w:rsidRPr="00A57DCD">
        <w:rPr>
          <w:rFonts w:cs="Arial"/>
        </w:rPr>
        <w:t>.</w:t>
      </w:r>
    </w:p>
    <w:p w14:paraId="27B50C0C" w14:textId="77777777" w:rsidR="0089191D" w:rsidRPr="00A57DCD" w:rsidRDefault="0089191D" w:rsidP="0089191D">
      <w:pPr>
        <w:pStyle w:val="RSGHeading02"/>
      </w:pPr>
      <w:bookmarkStart w:id="51" w:name="_Toc64463468"/>
      <w:bookmarkStart w:id="52" w:name="_Toc160613160"/>
      <w:r w:rsidRPr="008C1425">
        <w:t>Deposits and Fund Balance</w:t>
      </w:r>
      <w:bookmarkEnd w:id="51"/>
      <w:bookmarkEnd w:id="52"/>
      <w:r w:rsidRPr="008C1425">
        <w:t> </w:t>
      </w:r>
    </w:p>
    <w:p w14:paraId="181A7F12" w14:textId="7D9350CB" w:rsidR="00B9085B" w:rsidRDefault="00307360" w:rsidP="00307360">
      <w:pPr>
        <w:pStyle w:val="RSGBody"/>
      </w:pPr>
      <w:r w:rsidRPr="00B71A8A">
        <w:t xml:space="preserve">The </w:t>
      </w:r>
      <w:r>
        <w:t>Housing Successor</w:t>
      </w:r>
      <w:r w:rsidRPr="00B71A8A">
        <w:t xml:space="preserve"> deposited </w:t>
      </w:r>
      <w:r w:rsidRPr="00DB39F2">
        <w:t>$</w:t>
      </w:r>
      <w:r w:rsidR="003D6841">
        <w:t>485</w:t>
      </w:r>
      <w:r w:rsidR="00C91D5F" w:rsidRPr="00ED57E8">
        <w:t>,</w:t>
      </w:r>
      <w:r w:rsidR="003D6841">
        <w:t>527</w:t>
      </w:r>
      <w:r w:rsidR="00C91D5F" w:rsidRPr="00ED57E8">
        <w:t xml:space="preserve"> </w:t>
      </w:r>
      <w:r w:rsidRPr="00DB39F2">
        <w:t>into</w:t>
      </w:r>
      <w:r w:rsidRPr="00B71A8A">
        <w:t xml:space="preserve"> the Housing Asset Fund during </w:t>
      </w:r>
      <w:r>
        <w:t>FY</w:t>
      </w:r>
      <w:r w:rsidRPr="00B71A8A">
        <w:t xml:space="preserve"> 20</w:t>
      </w:r>
      <w:r w:rsidR="00391479">
        <w:t>2</w:t>
      </w:r>
      <w:r w:rsidR="00B87138">
        <w:t>2</w:t>
      </w:r>
      <w:r w:rsidRPr="00B71A8A">
        <w:t>-</w:t>
      </w:r>
      <w:r>
        <w:t>2</w:t>
      </w:r>
      <w:r w:rsidR="00B87138">
        <w:t>3</w:t>
      </w:r>
      <w:r w:rsidR="00A93B9A">
        <w:t xml:space="preserve"> from a variety of sources as shown in Table 1</w:t>
      </w:r>
      <w:r w:rsidR="005D7476">
        <w:t xml:space="preserve"> below</w:t>
      </w:r>
      <w:r>
        <w:t>.</w:t>
      </w:r>
    </w:p>
    <w:p w14:paraId="482325B7" w14:textId="3B509E0E" w:rsidR="000A4DB1" w:rsidRPr="00B71A8A" w:rsidRDefault="003D6841" w:rsidP="0023475E">
      <w:pPr>
        <w:pStyle w:val="RSGBody"/>
        <w:jc w:val="center"/>
      </w:pPr>
      <w:r w:rsidRPr="00B11122">
        <w:rPr>
          <w:noProof/>
        </w:rPr>
        <w:drawing>
          <wp:anchor distT="0" distB="0" distL="114300" distR="114300" simplePos="0" relativeHeight="251659266" behindDoc="1" locked="0" layoutInCell="1" allowOverlap="1" wp14:anchorId="43E6766A" wp14:editId="0E9794E4">
            <wp:simplePos x="0" y="0"/>
            <wp:positionH relativeFrom="column">
              <wp:posOffset>904461</wp:posOffset>
            </wp:positionH>
            <wp:positionV relativeFrom="paragraph">
              <wp:posOffset>2485</wp:posOffset>
            </wp:positionV>
            <wp:extent cx="4367806" cy="2865942"/>
            <wp:effectExtent l="0" t="0" r="1270" b="4445"/>
            <wp:wrapNone/>
            <wp:docPr id="20383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815" name=""/>
                    <pic:cNvPicPr/>
                  </pic:nvPicPr>
                  <pic:blipFill>
                    <a:blip r:embed="rId13">
                      <a:extLst>
                        <a:ext uri="{28A0092B-C50C-407E-A947-70E740481C1C}">
                          <a14:useLocalDpi xmlns:a14="http://schemas.microsoft.com/office/drawing/2010/main" val="0"/>
                        </a:ext>
                      </a:extLst>
                    </a:blip>
                    <a:stretch>
                      <a:fillRect/>
                    </a:stretch>
                  </pic:blipFill>
                  <pic:spPr>
                    <a:xfrm>
                      <a:off x="0" y="0"/>
                      <a:ext cx="4409442" cy="2893262"/>
                    </a:xfrm>
                    <a:prstGeom prst="rect">
                      <a:avLst/>
                    </a:prstGeom>
                  </pic:spPr>
                </pic:pic>
              </a:graphicData>
            </a:graphic>
            <wp14:sizeRelH relativeFrom="page">
              <wp14:pctWidth>0</wp14:pctWidth>
            </wp14:sizeRelH>
            <wp14:sizeRelV relativeFrom="page">
              <wp14:pctHeight>0</wp14:pctHeight>
            </wp14:sizeRelV>
          </wp:anchor>
        </w:drawing>
      </w:r>
      <w:r w:rsidR="001D59A3" w:rsidRPr="001D59A3">
        <w:rPr>
          <w:noProof/>
        </w:rPr>
        <w:t xml:space="preserve"> </w:t>
      </w:r>
      <w:r w:rsidR="00E40EB4" w:rsidRPr="00E40EB4" w:rsidDel="00E40EB4">
        <w:t xml:space="preserve"> </w:t>
      </w:r>
    </w:p>
    <w:p w14:paraId="6FAA34FC" w14:textId="0A09F6E0" w:rsidR="00D41294" w:rsidRDefault="00D41294">
      <w:pPr>
        <w:rPr>
          <w:b/>
          <w:caps/>
          <w:color w:val="ED8B00" w:themeColor="text2"/>
          <w:spacing w:val="20"/>
          <w:kern w:val="28"/>
          <w:sz w:val="28"/>
          <w:szCs w:val="20"/>
        </w:rPr>
      </w:pPr>
      <w:bookmarkStart w:id="53" w:name="_Toc64463469"/>
      <w:r>
        <w:br w:type="page"/>
      </w:r>
    </w:p>
    <w:p w14:paraId="7787BAD7" w14:textId="62ABB0CB" w:rsidR="00CD550C" w:rsidRPr="008C1425" w:rsidRDefault="00CD550C" w:rsidP="00CD550C">
      <w:pPr>
        <w:pStyle w:val="RSGHeading02"/>
      </w:pPr>
      <w:bookmarkStart w:id="54" w:name="_Toc160613161"/>
      <w:r w:rsidRPr="008C1425">
        <w:t>Expenditures</w:t>
      </w:r>
      <w:bookmarkEnd w:id="53"/>
      <w:bookmarkEnd w:id="54"/>
      <w:r w:rsidRPr="008C1425">
        <w:t> </w:t>
      </w:r>
    </w:p>
    <w:p w14:paraId="74233851" w14:textId="08F775C8" w:rsidR="0018462B" w:rsidRPr="008C1425" w:rsidRDefault="0018462B" w:rsidP="0018462B">
      <w:pPr>
        <w:pStyle w:val="RSGBody"/>
      </w:pPr>
      <w:r w:rsidRPr="00AE343D">
        <w:t xml:space="preserve">The Housing Successor expended </w:t>
      </w:r>
      <w:commentRangeStart w:id="55"/>
      <w:commentRangeStart w:id="56"/>
      <w:r w:rsidR="00702CBF" w:rsidRPr="00AE343D">
        <w:t>$</w:t>
      </w:r>
      <w:r w:rsidR="00A87A3B">
        <w:t>9</w:t>
      </w:r>
      <w:r w:rsidR="000958A1">
        <w:t>7</w:t>
      </w:r>
      <w:r w:rsidR="00D75BC7">
        <w:t>,</w:t>
      </w:r>
      <w:r w:rsidR="000958A1">
        <w:t>837</w:t>
      </w:r>
      <w:r w:rsidR="009946C7">
        <w:t xml:space="preserve"> </w:t>
      </w:r>
      <w:commentRangeEnd w:id="55"/>
      <w:r w:rsidR="006C370A">
        <w:rPr>
          <w:rStyle w:val="CommentReference"/>
          <w:rFonts w:eastAsia="Times"/>
        </w:rPr>
        <w:commentReference w:id="55"/>
      </w:r>
      <w:commentRangeEnd w:id="56"/>
      <w:r w:rsidR="00BB1EC1">
        <w:rPr>
          <w:rStyle w:val="CommentReference"/>
          <w:rFonts w:eastAsia="Times"/>
        </w:rPr>
        <w:commentReference w:id="56"/>
      </w:r>
      <w:r w:rsidR="004A2A3A" w:rsidRPr="00AE343D">
        <w:t>in FY 20</w:t>
      </w:r>
      <w:r w:rsidR="0004491D">
        <w:t>22-23</w:t>
      </w:r>
      <w:r w:rsidR="00566FB0" w:rsidRPr="00AE343D">
        <w:t>, a</w:t>
      </w:r>
      <w:r w:rsidR="005674D3" w:rsidRPr="00AE343D">
        <w:t xml:space="preserve">ll </w:t>
      </w:r>
      <w:r w:rsidR="00CD05CC" w:rsidRPr="00AE343D">
        <w:t>on</w:t>
      </w:r>
      <w:r w:rsidR="005674D3" w:rsidRPr="00AE343D">
        <w:t xml:space="preserve"> administrative costs</w:t>
      </w:r>
      <w:r w:rsidR="00A17DEC" w:rsidRPr="00AE343D">
        <w:t>.</w:t>
      </w:r>
      <w:r w:rsidR="00DC036D">
        <w:t xml:space="preserve"> </w:t>
      </w:r>
      <w:r w:rsidR="00080BA9">
        <w:t>S</w:t>
      </w:r>
      <w:r w:rsidR="00DF37AB">
        <w:t xml:space="preserve">ignificant expenses were </w:t>
      </w:r>
      <w:r w:rsidR="001F0557">
        <w:t>salaries, health insurance</w:t>
      </w:r>
      <w:r w:rsidR="007A263F">
        <w:t xml:space="preserve">, and outside services. </w:t>
      </w:r>
    </w:p>
    <w:p w14:paraId="14CCE46E" w14:textId="77777777" w:rsidR="00DA3C50" w:rsidRPr="00A57DCD" w:rsidRDefault="00DA3C50" w:rsidP="00DA3C50">
      <w:pPr>
        <w:pStyle w:val="RSGHeading02"/>
      </w:pPr>
      <w:bookmarkStart w:id="57" w:name="_Toc64463470"/>
      <w:bookmarkStart w:id="58" w:name="_Toc160613162"/>
      <w:r w:rsidRPr="008C1425">
        <w:t>Ending Cash and Fund Balance</w:t>
      </w:r>
      <w:bookmarkEnd w:id="57"/>
      <w:bookmarkEnd w:id="58"/>
      <w:r w:rsidRPr="008C1425">
        <w:t> </w:t>
      </w:r>
    </w:p>
    <w:p w14:paraId="4D01C211" w14:textId="26D89D0D" w:rsidR="00C344D4" w:rsidRPr="00B71A8A" w:rsidRDefault="00C344D4" w:rsidP="00C344D4">
      <w:pPr>
        <w:pStyle w:val="RSGBody"/>
      </w:pPr>
      <w:r w:rsidRPr="00BA591C">
        <w:t>T</w:t>
      </w:r>
      <w:r w:rsidRPr="00B71A8A">
        <w:t xml:space="preserve">he Housing Asset Fund balance </w:t>
      </w:r>
      <w:r w:rsidRPr="00BA591C">
        <w:t xml:space="preserve">as of June 30, </w:t>
      </w:r>
      <w:r w:rsidR="00702CBF" w:rsidRPr="00BA591C">
        <w:t>20</w:t>
      </w:r>
      <w:r w:rsidR="00702CBF">
        <w:t>2</w:t>
      </w:r>
      <w:r w:rsidR="009810E4">
        <w:t>3</w:t>
      </w:r>
      <w:r w:rsidR="00702CBF">
        <w:t>,</w:t>
      </w:r>
      <w:r w:rsidRPr="00BA591C">
        <w:t xml:space="preserve"> </w:t>
      </w:r>
      <w:r w:rsidRPr="00B71A8A">
        <w:t xml:space="preserve">was </w:t>
      </w:r>
      <w:r w:rsidR="009810E4" w:rsidRPr="009810E4">
        <w:t>$2,749,576</w:t>
      </w:r>
      <w:r>
        <w:t>, as summarized in Table 2</w:t>
      </w:r>
      <w:r w:rsidR="00B81F27">
        <w:t xml:space="preserve"> below</w:t>
      </w:r>
      <w:r>
        <w:t>.</w:t>
      </w:r>
      <w:r w:rsidR="00EB1ECA">
        <w:t xml:space="preserve"> </w:t>
      </w:r>
    </w:p>
    <w:p w14:paraId="1BD42918" w14:textId="48ADE897" w:rsidR="00C94B61" w:rsidRDefault="0076416B" w:rsidP="005D7551">
      <w:pPr>
        <w:pStyle w:val="RSGBody"/>
        <w:jc w:val="center"/>
      </w:pPr>
      <w:r w:rsidRPr="0076416B">
        <w:rPr>
          <w:noProof/>
        </w:rPr>
        <w:t xml:space="preserve"> </w:t>
      </w:r>
      <w:r w:rsidR="00A6243D" w:rsidRPr="00A6243D" w:rsidDel="000D2348">
        <w:t xml:space="preserve"> </w:t>
      </w:r>
      <w:r w:rsidR="009810E4" w:rsidRPr="009810E4">
        <w:rPr>
          <w:noProof/>
        </w:rPr>
        <w:drawing>
          <wp:inline distT="0" distB="0" distL="0" distR="0" wp14:anchorId="52C0CAB6" wp14:editId="492D8A7F">
            <wp:extent cx="5067300" cy="2895600"/>
            <wp:effectExtent l="0" t="0" r="0" b="0"/>
            <wp:docPr id="723976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76485" name=""/>
                    <pic:cNvPicPr/>
                  </pic:nvPicPr>
                  <pic:blipFill>
                    <a:blip r:embed="rId18"/>
                    <a:stretch>
                      <a:fillRect/>
                    </a:stretch>
                  </pic:blipFill>
                  <pic:spPr>
                    <a:xfrm>
                      <a:off x="0" y="0"/>
                      <a:ext cx="5067300" cy="2895600"/>
                    </a:xfrm>
                    <a:prstGeom prst="rect">
                      <a:avLst/>
                    </a:prstGeom>
                  </pic:spPr>
                </pic:pic>
              </a:graphicData>
            </a:graphic>
          </wp:inline>
        </w:drawing>
      </w:r>
      <w:r w:rsidR="0008304B" w:rsidRPr="0008304B">
        <w:rPr>
          <w:noProof/>
        </w:rPr>
        <w:t xml:space="preserve"> </w:t>
      </w:r>
    </w:p>
    <w:p w14:paraId="59AA8093" w14:textId="77777777" w:rsidR="00D268D4" w:rsidRPr="00A57DCD" w:rsidRDefault="00D268D4" w:rsidP="00D268D4">
      <w:pPr>
        <w:pStyle w:val="RSGHeading02"/>
      </w:pPr>
      <w:bookmarkStart w:id="59" w:name="_Toc64463471"/>
      <w:bookmarkStart w:id="60" w:name="_Toc160613163"/>
      <w:r w:rsidRPr="008C1425">
        <w:t>Housing Successor Portfolio</w:t>
      </w:r>
      <w:bookmarkEnd w:id="59"/>
      <w:bookmarkEnd w:id="60"/>
      <w:r w:rsidRPr="008C1425">
        <w:t> </w:t>
      </w:r>
    </w:p>
    <w:p w14:paraId="79C6FCAD" w14:textId="24F7F1DE" w:rsidR="004A6051" w:rsidRDefault="00B37F9A" w:rsidP="00D44923">
      <w:pPr>
        <w:pStyle w:val="RSGBody"/>
      </w:pPr>
      <w:r>
        <w:t xml:space="preserve">The Housing Successor Portfolio includes </w:t>
      </w:r>
      <w:r w:rsidR="00210B3B">
        <w:t>9</w:t>
      </w:r>
      <w:r>
        <w:t xml:space="preserve"> properties and </w:t>
      </w:r>
      <w:r w:rsidR="0082502B">
        <w:t>42</w:t>
      </w:r>
      <w:r>
        <w:t xml:space="preserve"> loans receivable transferred from the former Agency.  The Portfolio had a value </w:t>
      </w:r>
      <w:r w:rsidRPr="0091535B">
        <w:t>of $</w:t>
      </w:r>
      <w:r w:rsidR="00E30227">
        <w:t xml:space="preserve">6,433,366 </w:t>
      </w:r>
      <w:r>
        <w:t>as of FY 20</w:t>
      </w:r>
      <w:r w:rsidR="000A359F">
        <w:t>22-23</w:t>
      </w:r>
      <w:r>
        <w:t xml:space="preserve">, as detailed in Table </w:t>
      </w:r>
      <w:r w:rsidR="003539B3">
        <w:t>3</w:t>
      </w:r>
      <w:r w:rsidR="00B81F27">
        <w:t xml:space="preserve"> below</w:t>
      </w:r>
      <w:r w:rsidR="003539B3">
        <w:t>.</w:t>
      </w:r>
    </w:p>
    <w:p w14:paraId="5EAAD9A0" w14:textId="58A7AC7A" w:rsidR="003539B3" w:rsidRDefault="00140E1A" w:rsidP="003539B3">
      <w:pPr>
        <w:pStyle w:val="RSGBody"/>
        <w:jc w:val="center"/>
      </w:pPr>
      <w:r w:rsidRPr="00140E1A">
        <w:rPr>
          <w:noProof/>
        </w:rPr>
        <w:drawing>
          <wp:inline distT="0" distB="0" distL="0" distR="0" wp14:anchorId="3390A5A7" wp14:editId="4F2FCFA2">
            <wp:extent cx="5181600" cy="2628900"/>
            <wp:effectExtent l="0" t="0" r="0" b="0"/>
            <wp:docPr id="1165736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36793" name=""/>
                    <pic:cNvPicPr/>
                  </pic:nvPicPr>
                  <pic:blipFill>
                    <a:blip r:embed="rId19"/>
                    <a:stretch>
                      <a:fillRect/>
                    </a:stretch>
                  </pic:blipFill>
                  <pic:spPr>
                    <a:xfrm>
                      <a:off x="0" y="0"/>
                      <a:ext cx="5181600" cy="2628900"/>
                    </a:xfrm>
                    <a:prstGeom prst="rect">
                      <a:avLst/>
                    </a:prstGeom>
                  </pic:spPr>
                </pic:pic>
              </a:graphicData>
            </a:graphic>
          </wp:inline>
        </w:drawing>
      </w:r>
    </w:p>
    <w:p w14:paraId="7CBEF603" w14:textId="77777777" w:rsidR="006341F5" w:rsidRPr="00A57DCD" w:rsidRDefault="006341F5" w:rsidP="00F44866">
      <w:pPr>
        <w:pStyle w:val="RSGHeading02"/>
      </w:pPr>
      <w:bookmarkStart w:id="61" w:name="_Toc64463472"/>
      <w:bookmarkStart w:id="62" w:name="_Toc160613164"/>
      <w:r w:rsidRPr="008C1425">
        <w:t>Real Property and Disposition Status</w:t>
      </w:r>
      <w:bookmarkEnd w:id="61"/>
      <w:bookmarkEnd w:id="62"/>
    </w:p>
    <w:p w14:paraId="7E6C51E3" w14:textId="337B0847" w:rsidR="00DE39A4" w:rsidRDefault="00DE39A4" w:rsidP="00DE39A4">
      <w:pPr>
        <w:pStyle w:val="RSGBody"/>
      </w:pPr>
      <w:r w:rsidRPr="0037548F">
        <w:t xml:space="preserve">The Agency </w:t>
      </w:r>
      <w:r w:rsidR="004B0B32">
        <w:t xml:space="preserve">originally </w:t>
      </w:r>
      <w:r w:rsidRPr="0037548F">
        <w:t xml:space="preserve">transferred 19 real properties to the City on the </w:t>
      </w:r>
      <w:r w:rsidR="009F0AA2">
        <w:t>HAT</w:t>
      </w:r>
      <w:r w:rsidRPr="0037548F">
        <w:t xml:space="preserve"> </w:t>
      </w:r>
      <w:r w:rsidR="009F0AA2">
        <w:t>f</w:t>
      </w:r>
      <w:r w:rsidRPr="0037548F">
        <w:t>orm</w:t>
      </w:r>
      <w:r w:rsidR="008036B6">
        <w:t>. Since then, an additional</w:t>
      </w:r>
      <w:r w:rsidR="004B0B32">
        <w:t xml:space="preserve"> </w:t>
      </w:r>
      <w:r w:rsidR="00B0677B">
        <w:t xml:space="preserve">6 real properties </w:t>
      </w:r>
      <w:r w:rsidR="00DE7AED">
        <w:t>were taken back</w:t>
      </w:r>
      <w:r w:rsidR="006A5E2E">
        <w:t xml:space="preserve"> </w:t>
      </w:r>
      <w:r w:rsidR="003002DC">
        <w:t xml:space="preserve">by the </w:t>
      </w:r>
      <w:r w:rsidR="005B7305">
        <w:t xml:space="preserve">Housing Successor because the loans defaulted and </w:t>
      </w:r>
      <w:r w:rsidR="00FD589E">
        <w:t xml:space="preserve">resulted </w:t>
      </w:r>
      <w:r w:rsidR="00995911">
        <w:t>in foreclosure</w:t>
      </w:r>
      <w:r w:rsidRPr="0037548F">
        <w:t xml:space="preserve">. </w:t>
      </w:r>
      <w:r w:rsidRPr="00C315C0">
        <w:t xml:space="preserve">Table </w:t>
      </w:r>
      <w:r w:rsidR="003539B3" w:rsidRPr="00C315C0">
        <w:t>4</w:t>
      </w:r>
      <w:r w:rsidRPr="00C315C0">
        <w:t xml:space="preserve"> below</w:t>
      </w:r>
      <w:r w:rsidRPr="0037548F">
        <w:t xml:space="preserve"> describes each property and its current development or disposition status. As of FY 20</w:t>
      </w:r>
      <w:r w:rsidR="000A359F">
        <w:t>22-23</w:t>
      </w:r>
      <w:r w:rsidRPr="0037548F">
        <w:t>,</w:t>
      </w:r>
      <w:r w:rsidR="00A055B3">
        <w:t xml:space="preserve"> </w:t>
      </w:r>
      <w:r w:rsidR="00A055B3" w:rsidRPr="00A055B3">
        <w:t>f</w:t>
      </w:r>
      <w:r w:rsidRPr="00A055B3">
        <w:t>i</w:t>
      </w:r>
      <w:r w:rsidR="00A055B3" w:rsidRPr="00ED57E8">
        <w:t>f</w:t>
      </w:r>
      <w:r w:rsidRPr="00A055B3">
        <w:t>teen</w:t>
      </w:r>
      <w:r w:rsidRPr="0037548F">
        <w:t xml:space="preserve"> properties have </w:t>
      </w:r>
      <w:r w:rsidR="00E30227">
        <w:t xml:space="preserve">been </w:t>
      </w:r>
      <w:r w:rsidRPr="0037548F">
        <w:t xml:space="preserve">sold. The City will continue to evaluate each of the remaining </w:t>
      </w:r>
      <w:r w:rsidR="00995911">
        <w:t>twelve</w:t>
      </w:r>
      <w:r w:rsidRPr="0037548F">
        <w:t xml:space="preserve"> properties taking several factors into consideration, including whether it is more beneficial to develop properties to provide housing, or to receive sales proceeds to spend on affordable housing activities within the expenditure limitations set by </w:t>
      </w:r>
      <w:r w:rsidR="005A628F">
        <w:t>HSC Sec</w:t>
      </w:r>
      <w:r w:rsidR="0046219B">
        <w:t>tion 34176.1</w:t>
      </w:r>
      <w:r w:rsidRPr="0037548F">
        <w:t>.</w:t>
      </w:r>
    </w:p>
    <w:p w14:paraId="16216069" w14:textId="139A0291" w:rsidR="005347F5" w:rsidRDefault="008A2B28" w:rsidP="00ED57E8">
      <w:pPr>
        <w:pStyle w:val="RSGBody"/>
        <w:jc w:val="center"/>
      </w:pPr>
      <w:r w:rsidRPr="008A2B28">
        <w:rPr>
          <w:noProof/>
        </w:rPr>
        <w:t xml:space="preserve"> </w:t>
      </w:r>
      <w:r w:rsidR="0045729C" w:rsidRPr="0045729C">
        <w:rPr>
          <w:noProof/>
        </w:rPr>
        <w:drawing>
          <wp:inline distT="0" distB="0" distL="0" distR="0" wp14:anchorId="16614394" wp14:editId="3721B097">
            <wp:extent cx="6400800" cy="5774055"/>
            <wp:effectExtent l="0" t="0" r="0" b="4445"/>
            <wp:docPr id="392371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71814" name=""/>
                    <pic:cNvPicPr/>
                  </pic:nvPicPr>
                  <pic:blipFill>
                    <a:blip r:embed="rId20"/>
                    <a:stretch>
                      <a:fillRect/>
                    </a:stretch>
                  </pic:blipFill>
                  <pic:spPr>
                    <a:xfrm>
                      <a:off x="0" y="0"/>
                      <a:ext cx="6400800" cy="5774055"/>
                    </a:xfrm>
                    <a:prstGeom prst="rect">
                      <a:avLst/>
                    </a:prstGeom>
                  </pic:spPr>
                </pic:pic>
              </a:graphicData>
            </a:graphic>
          </wp:inline>
        </w:drawing>
      </w:r>
    </w:p>
    <w:p w14:paraId="5B5381D0" w14:textId="3D4068A1" w:rsidR="001D3381" w:rsidRDefault="001D3381" w:rsidP="001D3381">
      <w:pPr>
        <w:pStyle w:val="RSGHeading01"/>
      </w:pPr>
      <w:bookmarkStart w:id="63" w:name="_Toc160613165"/>
      <w:r>
        <w:t>compliance with expenditures &amp; production limits</w:t>
      </w:r>
      <w:bookmarkEnd w:id="63"/>
    </w:p>
    <w:p w14:paraId="3417D8E9" w14:textId="2452F0D7" w:rsidR="00294D05" w:rsidRPr="00A57DCD" w:rsidRDefault="00294D05" w:rsidP="00294D05">
      <w:pPr>
        <w:pStyle w:val="RSGBody"/>
        <w:rPr>
          <w:rFonts w:cs="Arial"/>
        </w:rPr>
      </w:pPr>
      <w:r w:rsidRPr="00A57DCD">
        <w:rPr>
          <w:rFonts w:cs="Arial"/>
        </w:rPr>
        <w:t>During FY 20</w:t>
      </w:r>
      <w:r w:rsidR="000A359F">
        <w:rPr>
          <w:rFonts w:cs="Arial"/>
        </w:rPr>
        <w:t>22-23</w:t>
      </w:r>
      <w:r w:rsidRPr="00A57DCD">
        <w:rPr>
          <w:rFonts w:cs="Arial"/>
        </w:rPr>
        <w:t>, the Housing Successor was in compliance with all annual and five- to ten</w:t>
      </w:r>
      <w:r w:rsidR="006C4741">
        <w:rPr>
          <w:rFonts w:cs="Arial"/>
        </w:rPr>
        <w:t>-</w:t>
      </w:r>
      <w:r w:rsidRPr="00A57DCD">
        <w:rPr>
          <w:rFonts w:cs="Arial"/>
        </w:rPr>
        <w:t>year planning period requirements as described in this section.</w:t>
      </w:r>
    </w:p>
    <w:p w14:paraId="601AB9AA" w14:textId="77777777" w:rsidR="008C5B5C" w:rsidRPr="008C1425" w:rsidRDefault="008C5B5C" w:rsidP="008C5B5C">
      <w:pPr>
        <w:pStyle w:val="RSGHeading02"/>
      </w:pPr>
      <w:bookmarkStart w:id="64" w:name="_Toc64463475"/>
      <w:bookmarkStart w:id="65" w:name="_Toc160613166"/>
      <w:r w:rsidRPr="008C1425">
        <w:t>Proportionality Requirements</w:t>
      </w:r>
      <w:bookmarkEnd w:id="64"/>
      <w:bookmarkEnd w:id="65"/>
      <w:r w:rsidRPr="008C1425">
        <w:t> </w:t>
      </w:r>
    </w:p>
    <w:p w14:paraId="6BEC3AA7" w14:textId="54572555" w:rsidR="00F17151" w:rsidRDefault="007C5E2F" w:rsidP="00980127">
      <w:pPr>
        <w:pStyle w:val="RSGBody"/>
      </w:pPr>
      <w:r>
        <w:t>T</w:t>
      </w:r>
      <w:r w:rsidR="00BF7A87">
        <w:t xml:space="preserve">he </w:t>
      </w:r>
      <w:r w:rsidR="006C4741">
        <w:t>Housing Successor</w:t>
      </w:r>
      <w:r w:rsidR="00BE7D3F">
        <w:t xml:space="preserve"> </w:t>
      </w:r>
      <w:r w:rsidR="006E11AF">
        <w:t xml:space="preserve">fully </w:t>
      </w:r>
      <w:r w:rsidR="00BE7D3F">
        <w:t xml:space="preserve">complied with </w:t>
      </w:r>
      <w:r>
        <w:t xml:space="preserve">the </w:t>
      </w:r>
      <w:r w:rsidR="00BE7D3F">
        <w:t>Housing Asset Fund spending restrictions</w:t>
      </w:r>
      <w:r w:rsidR="00BE7D3F" w:rsidRPr="00FF6CE2">
        <w:t xml:space="preserve"> </w:t>
      </w:r>
      <w:r>
        <w:t xml:space="preserve">during the </w:t>
      </w:r>
      <w:r w:rsidR="006A1B6D">
        <w:t xml:space="preserve">previous </w:t>
      </w:r>
      <w:r w:rsidR="008E1A91">
        <w:t>five-year compliance</w:t>
      </w:r>
      <w:r w:rsidR="006A1B6D">
        <w:t xml:space="preserve"> period of </w:t>
      </w:r>
      <w:r w:rsidR="009663E4" w:rsidRPr="00A57DCD">
        <w:rPr>
          <w:rFonts w:cs="Arial"/>
        </w:rPr>
        <w:t>January 1, 2014</w:t>
      </w:r>
      <w:r w:rsidR="00E30227">
        <w:rPr>
          <w:rFonts w:cs="Arial"/>
        </w:rPr>
        <w:t>,</w:t>
      </w:r>
      <w:r w:rsidR="009663E4" w:rsidRPr="00A57DCD">
        <w:rPr>
          <w:rFonts w:cs="Arial"/>
        </w:rPr>
        <w:t xml:space="preserve"> through June 30, 2019</w:t>
      </w:r>
      <w:r w:rsidR="009663E4">
        <w:rPr>
          <w:rFonts w:cs="Arial"/>
        </w:rPr>
        <w:t xml:space="preserve">. </w:t>
      </w:r>
      <w:bookmarkStart w:id="66" w:name="_Hlk22737992"/>
    </w:p>
    <w:p w14:paraId="3ADEEBB3" w14:textId="63BFBFDD" w:rsidR="008E046E" w:rsidRDefault="008E046E" w:rsidP="00980127">
      <w:pPr>
        <w:pStyle w:val="RSGBody"/>
      </w:pPr>
      <w:r>
        <w:t>As summarized in F</w:t>
      </w:r>
      <w:r w:rsidR="003B2676">
        <w:t xml:space="preserve">igure 1 below, the Housing Successor </w:t>
      </w:r>
      <w:r w:rsidR="00AD5604">
        <w:t xml:space="preserve">has also </w:t>
      </w:r>
      <w:r w:rsidR="003B2676">
        <w:t xml:space="preserve">fully complied with all the </w:t>
      </w:r>
      <w:r w:rsidR="003A48C8">
        <w:t>Housing Asset Fund spending restrictions</w:t>
      </w:r>
      <w:r w:rsidR="00AD5604">
        <w:t xml:space="preserve"> for the current reporting period</w:t>
      </w:r>
      <w:r w:rsidR="003A48C8">
        <w:t>:</w:t>
      </w:r>
    </w:p>
    <w:p w14:paraId="60BD7861" w14:textId="44ADAA45" w:rsidR="00BE7D3F" w:rsidRDefault="003A48C8" w:rsidP="004546D7">
      <w:pPr>
        <w:pStyle w:val="RSGBody"/>
        <w:numPr>
          <w:ilvl w:val="0"/>
          <w:numId w:val="28"/>
        </w:numPr>
      </w:pPr>
      <w:r>
        <w:t>T</w:t>
      </w:r>
      <w:r w:rsidR="00F17151">
        <w:t>he Housing Successor ex</w:t>
      </w:r>
      <w:r w:rsidR="00A96D91">
        <w:t xml:space="preserve">pended </w:t>
      </w:r>
      <w:commentRangeStart w:id="67"/>
      <w:commentRangeStart w:id="68"/>
      <w:r w:rsidR="00A96D91" w:rsidRPr="008D7294">
        <w:t>$</w:t>
      </w:r>
      <w:r w:rsidR="008D7294">
        <w:t>9</w:t>
      </w:r>
      <w:r w:rsidR="000958A1">
        <w:t>7</w:t>
      </w:r>
      <w:r w:rsidR="008D7294">
        <w:t>,</w:t>
      </w:r>
      <w:r w:rsidR="000958A1">
        <w:t>837</w:t>
      </w:r>
      <w:r w:rsidR="008D7294">
        <w:t xml:space="preserve"> </w:t>
      </w:r>
      <w:commentRangeEnd w:id="67"/>
      <w:r w:rsidR="005F2CAE">
        <w:rPr>
          <w:rStyle w:val="CommentReference"/>
          <w:rFonts w:eastAsia="Times"/>
        </w:rPr>
        <w:commentReference w:id="67"/>
      </w:r>
      <w:commentRangeEnd w:id="68"/>
      <w:r w:rsidR="00BB1EC1">
        <w:rPr>
          <w:rStyle w:val="CommentReference"/>
          <w:rFonts w:eastAsia="Times"/>
        </w:rPr>
        <w:commentReference w:id="68"/>
      </w:r>
      <w:r w:rsidR="008D7294">
        <w:t>on</w:t>
      </w:r>
      <w:r w:rsidR="00A96D91">
        <w:t xml:space="preserve"> allowable admini</w:t>
      </w:r>
      <w:r w:rsidR="003A4E52">
        <w:t xml:space="preserve">strative costs and </w:t>
      </w:r>
      <w:r w:rsidR="00F50270">
        <w:t>was below</w:t>
      </w:r>
      <w:r w:rsidR="00BE7D3F">
        <w:t xml:space="preserve"> the </w:t>
      </w:r>
      <w:r w:rsidR="0076467D">
        <w:t xml:space="preserve">maximum limit amount </w:t>
      </w:r>
      <w:r w:rsidR="006727E9">
        <w:t xml:space="preserve">of </w:t>
      </w:r>
      <w:r w:rsidR="00BE7D3F">
        <w:t>$3</w:t>
      </w:r>
      <w:r w:rsidR="00C215F7">
        <w:t>21</w:t>
      </w:r>
      <w:r w:rsidR="00BE7D3F">
        <w:t>,</w:t>
      </w:r>
      <w:r w:rsidR="00C215F7">
        <w:t>66</w:t>
      </w:r>
      <w:r w:rsidR="00CA712E">
        <w:t>8</w:t>
      </w:r>
      <w:r w:rsidR="00B64E17">
        <w:t xml:space="preserve">. </w:t>
      </w:r>
      <w:r w:rsidR="00BE7D3F">
        <w:t xml:space="preserve"> </w:t>
      </w:r>
      <w:r w:rsidR="00B64E17">
        <w:t xml:space="preserve">The annual </w:t>
      </w:r>
      <w:r w:rsidR="00D47B34">
        <w:t xml:space="preserve">limit is greater </w:t>
      </w:r>
      <w:r w:rsidR="00C215F7">
        <w:t>than</w:t>
      </w:r>
      <w:r w:rsidR="00897446">
        <w:t xml:space="preserve"> </w:t>
      </w:r>
      <w:r w:rsidR="00D47B34">
        <w:t>$200,000</w:t>
      </w:r>
      <w:r w:rsidR="00BE3DDD">
        <w:t xml:space="preserve"> plus inflation or</w:t>
      </w:r>
      <w:r w:rsidR="00BE7D3F">
        <w:t xml:space="preserve"> </w:t>
      </w:r>
      <w:r w:rsidR="006727E9">
        <w:t xml:space="preserve">5% of the </w:t>
      </w:r>
      <w:r w:rsidR="000251BC">
        <w:t>Housing Successor Portfolio balance</w:t>
      </w:r>
      <w:r w:rsidR="00BE7D3F">
        <w:t>.</w:t>
      </w:r>
      <w:r w:rsidR="003622DE">
        <w:t xml:space="preserve">  </w:t>
      </w:r>
      <w:r w:rsidR="00AD14E6">
        <w:t xml:space="preserve">As shown in Table 3 earlier, the Portfolio balance </w:t>
      </w:r>
      <w:r w:rsidR="00CD5582">
        <w:t>is</w:t>
      </w:r>
      <w:r w:rsidR="00AD14E6">
        <w:t xml:space="preserve"> </w:t>
      </w:r>
      <w:r w:rsidR="00F55263" w:rsidRPr="0091535B">
        <w:t>$</w:t>
      </w:r>
      <w:r w:rsidR="00897446">
        <w:t>6</w:t>
      </w:r>
      <w:r w:rsidR="00F55263" w:rsidRPr="0091535B">
        <w:t>,</w:t>
      </w:r>
      <w:r w:rsidR="00897446">
        <w:t>433</w:t>
      </w:r>
      <w:r w:rsidR="00F55263" w:rsidRPr="0091535B">
        <w:t>,</w:t>
      </w:r>
      <w:r w:rsidR="00C215F7">
        <w:t>366</w:t>
      </w:r>
      <w:r w:rsidR="00F55263">
        <w:t xml:space="preserve">, </w:t>
      </w:r>
      <w:r w:rsidR="00CD5582">
        <w:t>of which 5% is $3</w:t>
      </w:r>
      <w:r w:rsidR="00C215F7">
        <w:t>21</w:t>
      </w:r>
      <w:r w:rsidR="00CD5582">
        <w:t>,</w:t>
      </w:r>
      <w:r w:rsidR="00C215F7">
        <w:t>668</w:t>
      </w:r>
      <w:r w:rsidR="00CD5582">
        <w:t>.</w:t>
      </w:r>
      <w:r w:rsidR="00F55263">
        <w:t xml:space="preserve"> </w:t>
      </w:r>
    </w:p>
    <w:bookmarkEnd w:id="66"/>
    <w:p w14:paraId="5FC004D1" w14:textId="79598A1F" w:rsidR="00BE7D3F" w:rsidRDefault="00E00474" w:rsidP="00BE7D3F">
      <w:pPr>
        <w:pStyle w:val="RSGBody"/>
        <w:numPr>
          <w:ilvl w:val="0"/>
          <w:numId w:val="14"/>
        </w:numPr>
      </w:pPr>
      <w:r>
        <w:t>Since n</w:t>
      </w:r>
      <w:r w:rsidR="00BE7D3F">
        <w:t>o homeless prevention or rapid rehousing expenses were made in FY 20</w:t>
      </w:r>
      <w:r w:rsidR="000A359F">
        <w:t>22-23</w:t>
      </w:r>
      <w:r>
        <w:t>, the Housing Successor</w:t>
      </w:r>
      <w:r w:rsidR="00904297">
        <w:t xml:space="preserve"> was </w:t>
      </w:r>
      <w:r w:rsidR="004629C9">
        <w:t>therefore in compliance with the $250,000 spending restriction</w:t>
      </w:r>
      <w:r w:rsidR="00BE7D3F">
        <w:t>.</w:t>
      </w:r>
    </w:p>
    <w:p w14:paraId="4085B45D" w14:textId="3F16F36C" w:rsidR="00B0595F" w:rsidRDefault="00B13EDF" w:rsidP="00B0595F">
      <w:pPr>
        <w:pStyle w:val="RSGBody"/>
        <w:numPr>
          <w:ilvl w:val="0"/>
          <w:numId w:val="14"/>
        </w:numPr>
      </w:pPr>
      <w:commentRangeStart w:id="69"/>
      <w:commentRangeStart w:id="70"/>
      <w:r>
        <w:t>For FY 20</w:t>
      </w:r>
      <w:r w:rsidR="000A359F">
        <w:t>22-23</w:t>
      </w:r>
      <w:r w:rsidR="00292FE2">
        <w:t>,</w:t>
      </w:r>
      <w:r>
        <w:t xml:space="preserve"> t</w:t>
      </w:r>
      <w:r w:rsidR="00001F28">
        <w:t xml:space="preserve">he Housing Successor </w:t>
      </w:r>
      <w:r w:rsidR="000958A1">
        <w:t>had expenditures of $900,000 for a project that’s designated to extremely low households with permanent supportive housing</w:t>
      </w:r>
      <w:commentRangeEnd w:id="69"/>
      <w:r w:rsidR="000958A1">
        <w:t>.</w:t>
      </w:r>
      <w:r w:rsidR="00B85C66">
        <w:rPr>
          <w:rStyle w:val="CommentReference"/>
          <w:rFonts w:eastAsia="Times"/>
        </w:rPr>
        <w:commentReference w:id="69"/>
      </w:r>
      <w:commentRangeEnd w:id="70"/>
      <w:r w:rsidR="00BB1EC1">
        <w:rPr>
          <w:rStyle w:val="CommentReference"/>
          <w:rFonts w:eastAsia="Times"/>
        </w:rPr>
        <w:commentReference w:id="70"/>
      </w:r>
      <w:r w:rsidR="00B64763">
        <w:t xml:space="preserve"> </w:t>
      </w:r>
      <w:r w:rsidR="000958A1">
        <w:t>This</w:t>
      </w:r>
      <w:r w:rsidR="00B64763">
        <w:t xml:space="preserve"> </w:t>
      </w:r>
      <w:r w:rsidR="000958A1">
        <w:t>complies</w:t>
      </w:r>
      <w:r w:rsidR="00B64763">
        <w:t xml:space="preserve"> </w:t>
      </w:r>
      <w:r w:rsidR="00292FE2">
        <w:t xml:space="preserve">with </w:t>
      </w:r>
      <w:r w:rsidR="009B51EE">
        <w:t xml:space="preserve">the </w:t>
      </w:r>
      <w:r w:rsidR="00B0595F">
        <w:t xml:space="preserve">five-year income </w:t>
      </w:r>
      <w:r w:rsidR="00AA7E8A">
        <w:t>proportionalit</w:t>
      </w:r>
      <w:r w:rsidR="00B0595F">
        <w:t>y targets.</w:t>
      </w:r>
    </w:p>
    <w:p w14:paraId="53CC8946" w14:textId="5720CEC9" w:rsidR="00615A76" w:rsidRPr="00D9621E" w:rsidRDefault="00641636" w:rsidP="008C1425">
      <w:pPr>
        <w:pStyle w:val="RSGBody"/>
        <w:jc w:val="center"/>
      </w:pPr>
      <w:r w:rsidRPr="00641636">
        <w:rPr>
          <w:noProof/>
        </w:rPr>
        <w:t xml:space="preserve"> </w:t>
      </w:r>
      <w:r w:rsidR="007377D1" w:rsidRPr="007377D1" w:rsidDel="00341483">
        <w:t xml:space="preserve"> </w:t>
      </w:r>
      <w:r w:rsidR="000958A1" w:rsidRPr="000958A1">
        <w:rPr>
          <w:noProof/>
        </w:rPr>
        <w:drawing>
          <wp:inline distT="0" distB="0" distL="0" distR="0" wp14:anchorId="20A9DAC6" wp14:editId="2F3AAB08">
            <wp:extent cx="5880100" cy="3543300"/>
            <wp:effectExtent l="0" t="0" r="0" b="0"/>
            <wp:docPr id="2140967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105" name=""/>
                    <pic:cNvPicPr/>
                  </pic:nvPicPr>
                  <pic:blipFill>
                    <a:blip r:embed="rId21"/>
                    <a:stretch>
                      <a:fillRect/>
                    </a:stretch>
                  </pic:blipFill>
                  <pic:spPr>
                    <a:xfrm>
                      <a:off x="0" y="0"/>
                      <a:ext cx="5880100" cy="3543300"/>
                    </a:xfrm>
                    <a:prstGeom prst="rect">
                      <a:avLst/>
                    </a:prstGeom>
                  </pic:spPr>
                </pic:pic>
              </a:graphicData>
            </a:graphic>
          </wp:inline>
        </w:drawing>
      </w:r>
    </w:p>
    <w:p w14:paraId="79542CB0" w14:textId="63DB797E" w:rsidR="007400FC" w:rsidRDefault="00BF7A87" w:rsidP="007400FC">
      <w:pPr>
        <w:pStyle w:val="RSGBody"/>
      </w:pPr>
      <w:r>
        <w:t xml:space="preserve">The </w:t>
      </w:r>
      <w:r w:rsidR="00C80905">
        <w:t>Housing Successor</w:t>
      </w:r>
      <w:r w:rsidR="007400FC">
        <w:t xml:space="preserve"> will ensure it meets all expenditure requirements going forward, </w:t>
      </w:r>
      <w:r w:rsidR="00FA11AA">
        <w:t xml:space="preserve">throughout </w:t>
      </w:r>
      <w:r w:rsidR="00864CDB">
        <w:t>this five</w:t>
      </w:r>
      <w:r w:rsidR="007400FC">
        <w:t>-year compliance period of July 1, 2019</w:t>
      </w:r>
      <w:r w:rsidR="00292FE2">
        <w:t>,</w:t>
      </w:r>
      <w:r w:rsidR="007400FC">
        <w:t xml:space="preserve"> through June 30, 2024</w:t>
      </w:r>
      <w:r w:rsidR="00292FE2">
        <w:t>,</w:t>
      </w:r>
      <w:r w:rsidR="001426B9">
        <w:t xml:space="preserve"> and future five-year compliance periods</w:t>
      </w:r>
      <w:r w:rsidR="007400FC">
        <w:t>.</w:t>
      </w:r>
    </w:p>
    <w:p w14:paraId="2D435014" w14:textId="28D532DE" w:rsidR="007400FC" w:rsidRDefault="007400FC" w:rsidP="007400FC">
      <w:pPr>
        <w:pStyle w:val="RSGBody"/>
      </w:pPr>
      <w:r w:rsidRPr="000F5EA2">
        <w:t>Failure to comply with the extremely low</w:t>
      </w:r>
      <w:r>
        <w:t>-</w:t>
      </w:r>
      <w:r w:rsidRPr="000F5EA2">
        <w:t xml:space="preserve">income requirement in any </w:t>
      </w:r>
      <w:r>
        <w:t>five</w:t>
      </w:r>
      <w:r w:rsidRPr="000F5EA2">
        <w:t xml:space="preserve">-year </w:t>
      </w:r>
      <w:r>
        <w:t>compliance</w:t>
      </w:r>
      <w:r w:rsidRPr="000F5EA2">
        <w:t xml:space="preserve"> period will result in the </w:t>
      </w:r>
      <w:r>
        <w:t>Housing Successor</w:t>
      </w:r>
      <w:r w:rsidRPr="000F5EA2">
        <w:t xml:space="preserve"> having to ensure that 50</w:t>
      </w:r>
      <w:r>
        <w:t xml:space="preserve"> percent</w:t>
      </w:r>
      <w:r w:rsidRPr="000F5EA2">
        <w:t xml:space="preserve"> of </w:t>
      </w:r>
      <w:r w:rsidR="00292FE2">
        <w:t xml:space="preserve">the </w:t>
      </w:r>
      <w:r w:rsidRPr="000F5EA2">
        <w:t xml:space="preserve">remaining funds be spent on extremely </w:t>
      </w:r>
      <w:r w:rsidR="00292FE2">
        <w:t>low-income</w:t>
      </w:r>
      <w:r w:rsidRPr="000F5EA2">
        <w:t xml:space="preserve"> rental units until in compliance. Exceeding the expenditure limit for </w:t>
      </w:r>
      <w:r>
        <w:t xml:space="preserve">low </w:t>
      </w:r>
      <w:r w:rsidRPr="000F5EA2">
        <w:t xml:space="preserve">households earning between </w:t>
      </w:r>
      <w:r>
        <w:t>60-80%</w:t>
      </w:r>
      <w:r w:rsidRPr="000F5EA2">
        <w:t xml:space="preserve"> AMI in any </w:t>
      </w:r>
      <w:r>
        <w:t>five</w:t>
      </w:r>
      <w:r w:rsidRPr="000F5EA2">
        <w:t>-year reporting period</w:t>
      </w:r>
      <w:r w:rsidR="009D7F74">
        <w:t xml:space="preserve"> </w:t>
      </w:r>
      <w:r w:rsidRPr="000F5EA2">
        <w:t xml:space="preserve">will result in the </w:t>
      </w:r>
      <w:r>
        <w:t>Housing Successor</w:t>
      </w:r>
      <w:r w:rsidRPr="000F5EA2">
        <w:t xml:space="preserve"> not being able to expend any funds on th</w:t>
      </w:r>
      <w:r>
        <w:t>is</w:t>
      </w:r>
      <w:r w:rsidRPr="000F5EA2">
        <w:t xml:space="preserve"> income categor</w:t>
      </w:r>
      <w:r>
        <w:t>y</w:t>
      </w:r>
      <w:r w:rsidRPr="000F5EA2">
        <w:t xml:space="preserve"> until in compliance. </w:t>
      </w:r>
    </w:p>
    <w:p w14:paraId="6DBD61C6" w14:textId="77777777" w:rsidR="00597A39" w:rsidRPr="00A57DCD" w:rsidRDefault="00597A39" w:rsidP="00597A39">
      <w:pPr>
        <w:pStyle w:val="RSGHeading02"/>
      </w:pPr>
      <w:bookmarkStart w:id="71" w:name="_Toc64463476"/>
      <w:bookmarkStart w:id="72" w:name="_Toc160613167"/>
      <w:r w:rsidRPr="008C1425">
        <w:t>Senior Rental Housing Limit Compliance</w:t>
      </w:r>
      <w:bookmarkEnd w:id="71"/>
      <w:bookmarkEnd w:id="72"/>
      <w:r w:rsidRPr="008C1425">
        <w:t>  </w:t>
      </w:r>
    </w:p>
    <w:p w14:paraId="640A1E5E" w14:textId="1A95717B" w:rsidR="006A622E" w:rsidRDefault="005C2D27" w:rsidP="006A622E">
      <w:pPr>
        <w:pStyle w:val="RSGBody"/>
      </w:pPr>
      <w:r>
        <w:t xml:space="preserve">The Housing Successor has exceeded the limit of producing more than 50 percent of the total rental units for seniors within the last ten years. However, </w:t>
      </w:r>
      <w:r w:rsidR="00E52D4C">
        <w:t>some funds have</w:t>
      </w:r>
      <w:r>
        <w:t xml:space="preserve"> been </w:t>
      </w:r>
      <w:r w:rsidR="00E52D4C">
        <w:t>encumber</w:t>
      </w:r>
      <w:r>
        <w:t xml:space="preserve">ed for housing assistance, which </w:t>
      </w:r>
      <w:r w:rsidR="004C0A20">
        <w:t>is</w:t>
      </w:r>
      <w:r>
        <w:t xml:space="preserve"> expected to bring the jurisdiction into compliance by the next reporting year. The Housing Successor, along with the City and former Agency, are working towards achieving this goal.</w:t>
      </w:r>
      <w:r w:rsidRPr="00C96A33">
        <w:t xml:space="preserve"> </w:t>
      </w:r>
      <w:commentRangeStart w:id="73"/>
      <w:commentRangeStart w:id="74"/>
      <w:r w:rsidR="005D00CB">
        <w:t>Over the last 10 years, the Successor has a</w:t>
      </w:r>
      <w:r w:rsidRPr="00C96A33">
        <w:t>ssisted</w:t>
      </w:r>
      <w:r w:rsidR="006A622E" w:rsidRPr="00C96A33">
        <w:t xml:space="preserve"> </w:t>
      </w:r>
      <w:r w:rsidR="001E65CA">
        <w:t>1</w:t>
      </w:r>
      <w:r w:rsidR="006A622E" w:rsidRPr="00C96A33">
        <w:t xml:space="preserve"> deed-restricted rental unit in the last ten years, </w:t>
      </w:r>
      <w:r w:rsidR="006512D9">
        <w:br/>
      </w:r>
      <w:r w:rsidR="006A622E" w:rsidRPr="00C96A33">
        <w:t>2 of which are restricted to seniors</w:t>
      </w:r>
      <w:r w:rsidR="006536CE" w:rsidRPr="00C96A33">
        <w:t xml:space="preserve">, </w:t>
      </w:r>
      <w:r w:rsidR="00C96A33" w:rsidRPr="00C96A33">
        <w:t>over</w:t>
      </w:r>
      <w:r w:rsidR="006536CE" w:rsidRPr="00C96A33">
        <w:t xml:space="preserve"> 50 percent</w:t>
      </w:r>
      <w:r w:rsidR="006A622E" w:rsidRPr="00C96A33">
        <w:t xml:space="preserve">. </w:t>
      </w:r>
      <w:commentRangeEnd w:id="73"/>
      <w:r w:rsidR="008C5DC8">
        <w:rPr>
          <w:rStyle w:val="CommentReference"/>
          <w:rFonts w:eastAsia="Times"/>
        </w:rPr>
        <w:commentReference w:id="73"/>
      </w:r>
      <w:commentRangeEnd w:id="74"/>
      <w:r w:rsidR="003C1ECF">
        <w:rPr>
          <w:rStyle w:val="CommentReference"/>
          <w:rFonts w:eastAsia="Times"/>
        </w:rPr>
        <w:commentReference w:id="74"/>
      </w:r>
      <w:r w:rsidR="006A622E" w:rsidRPr="00C96A33">
        <w:t xml:space="preserve">Table </w:t>
      </w:r>
      <w:r w:rsidR="00B13784" w:rsidRPr="00C96A33">
        <w:t>5</w:t>
      </w:r>
      <w:r w:rsidR="006A622E" w:rsidRPr="00C96A33">
        <w:t xml:space="preserve"> details units assisted by </w:t>
      </w:r>
      <w:r w:rsidR="00292FE2" w:rsidRPr="00C96A33">
        <w:t xml:space="preserve">the </w:t>
      </w:r>
      <w:r w:rsidR="006A622E" w:rsidRPr="00C96A33">
        <w:t>project.</w:t>
      </w:r>
      <w:r w:rsidR="006A622E" w:rsidRPr="005900E6">
        <w:t xml:space="preserve"> </w:t>
      </w:r>
    </w:p>
    <w:p w14:paraId="2C4EE060" w14:textId="78E718C2" w:rsidR="00B13784" w:rsidRDefault="00290FAC" w:rsidP="00B13784">
      <w:pPr>
        <w:pStyle w:val="RSGBody"/>
        <w:jc w:val="center"/>
      </w:pPr>
      <w:r w:rsidRPr="00290FAC">
        <w:rPr>
          <w:noProof/>
        </w:rPr>
        <w:drawing>
          <wp:inline distT="0" distB="0" distL="0" distR="0" wp14:anchorId="54ADCDFA" wp14:editId="2AC3C145">
            <wp:extent cx="6388100" cy="1739900"/>
            <wp:effectExtent l="0" t="0" r="0" b="0"/>
            <wp:docPr id="1255535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35681" name=""/>
                    <pic:cNvPicPr/>
                  </pic:nvPicPr>
                  <pic:blipFill>
                    <a:blip r:embed="rId22"/>
                    <a:stretch>
                      <a:fillRect/>
                    </a:stretch>
                  </pic:blipFill>
                  <pic:spPr>
                    <a:xfrm>
                      <a:off x="0" y="0"/>
                      <a:ext cx="6388100" cy="1739900"/>
                    </a:xfrm>
                    <a:prstGeom prst="rect">
                      <a:avLst/>
                    </a:prstGeom>
                  </pic:spPr>
                </pic:pic>
              </a:graphicData>
            </a:graphic>
          </wp:inline>
        </w:drawing>
      </w:r>
    </w:p>
    <w:p w14:paraId="4E8C8CAA" w14:textId="77777777" w:rsidR="008C5DC8" w:rsidRDefault="008C5DC8">
      <w:pPr>
        <w:rPr>
          <w:b/>
          <w:caps/>
          <w:color w:val="ED8B00" w:themeColor="text2"/>
          <w:spacing w:val="20"/>
          <w:kern w:val="28"/>
          <w:sz w:val="28"/>
          <w:szCs w:val="20"/>
        </w:rPr>
      </w:pPr>
      <w:bookmarkStart w:id="75" w:name="_Toc64463477"/>
      <w:r>
        <w:br w:type="page"/>
      </w:r>
    </w:p>
    <w:p w14:paraId="4F800E9E" w14:textId="64132C04" w:rsidR="004A54EE" w:rsidRPr="00A57DCD" w:rsidRDefault="004A54EE" w:rsidP="004A54EE">
      <w:pPr>
        <w:pStyle w:val="RSGHeading02"/>
      </w:pPr>
      <w:bookmarkStart w:id="76" w:name="_Toc160613168"/>
      <w:r w:rsidRPr="008C1425">
        <w:t>Excess Surplus</w:t>
      </w:r>
      <w:bookmarkEnd w:id="75"/>
      <w:bookmarkEnd w:id="76"/>
      <w:r w:rsidRPr="008C1425">
        <w:t> </w:t>
      </w:r>
    </w:p>
    <w:p w14:paraId="47900DA4" w14:textId="70DE8DC7" w:rsidR="00651A7D" w:rsidRPr="008C5DC8" w:rsidRDefault="00403E80" w:rsidP="008C5DC8">
      <w:pPr>
        <w:pStyle w:val="RSGBody"/>
      </w:pPr>
      <w:r w:rsidRPr="00C95703">
        <w:t>The Housing Asset Fund</w:t>
      </w:r>
      <w:r>
        <w:t xml:space="preserve"> may not accumulate an “excess surplus”, which is an unencumbered amount that exceeds the greater of $1 million or the sum of deposits in the prior four fiscal years.  This requirement ensures that housing successors are actively spending available Housing Asset Funds on affordable housing.</w:t>
      </w:r>
      <w:r w:rsidR="008C5DC8">
        <w:t xml:space="preserve"> </w:t>
      </w:r>
      <w:r w:rsidR="00864182">
        <w:t>Table 6</w:t>
      </w:r>
      <w:r w:rsidR="009B5A5E">
        <w:t xml:space="preserve"> shows that t</w:t>
      </w:r>
      <w:r w:rsidR="00A767B9">
        <w:t xml:space="preserve">he Housing Successor has not accumulated an excess surplus </w:t>
      </w:r>
      <w:r w:rsidR="00B974CE">
        <w:t xml:space="preserve">amount </w:t>
      </w:r>
      <w:r w:rsidR="00A767B9">
        <w:t>during</w:t>
      </w:r>
      <w:r w:rsidR="00A767B9" w:rsidRPr="00C95703">
        <w:t xml:space="preserve"> FY 20</w:t>
      </w:r>
      <w:r w:rsidR="000A359F">
        <w:t>22-23</w:t>
      </w:r>
      <w:r w:rsidR="00A767B9">
        <w:t>.</w:t>
      </w:r>
      <w:r w:rsidR="009B5A5E">
        <w:t xml:space="preserve"> </w:t>
      </w:r>
      <w:r w:rsidR="00B72384">
        <w:t xml:space="preserve">The encumbered </w:t>
      </w:r>
      <w:r w:rsidR="00FC0DBC">
        <w:t xml:space="preserve">amount of </w:t>
      </w:r>
      <w:commentRangeStart w:id="77"/>
      <w:commentRangeStart w:id="78"/>
      <w:r w:rsidR="00190FBD" w:rsidRPr="00190FBD">
        <w:rPr>
          <w:rFonts w:cs="Arial"/>
          <w:color w:val="000000"/>
        </w:rPr>
        <w:t>$</w:t>
      </w:r>
      <w:r w:rsidR="000120C8" w:rsidRPr="00190FBD">
        <w:rPr>
          <w:rFonts w:cs="Arial"/>
          <w:color w:val="000000"/>
        </w:rPr>
        <w:t>1,</w:t>
      </w:r>
      <w:r w:rsidR="008E4008">
        <w:rPr>
          <w:rFonts w:cs="Arial"/>
          <w:color w:val="000000"/>
        </w:rPr>
        <w:t>94</w:t>
      </w:r>
      <w:r w:rsidR="00681CC4">
        <w:rPr>
          <w:rFonts w:cs="Arial"/>
          <w:color w:val="000000"/>
        </w:rPr>
        <w:t>7</w:t>
      </w:r>
      <w:r w:rsidR="008E4008">
        <w:rPr>
          <w:rFonts w:cs="Arial"/>
          <w:color w:val="000000"/>
        </w:rPr>
        <w:t>,</w:t>
      </w:r>
      <w:r w:rsidR="00681CC4">
        <w:rPr>
          <w:rFonts w:cs="Arial"/>
          <w:color w:val="000000"/>
        </w:rPr>
        <w:t>837</w:t>
      </w:r>
      <w:r w:rsidR="00FC0DBC">
        <w:rPr>
          <w:rFonts w:cs="Arial"/>
          <w:color w:val="000000"/>
        </w:rPr>
        <w:t xml:space="preserve"> </w:t>
      </w:r>
      <w:r w:rsidR="000120C8">
        <w:t>is</w:t>
      </w:r>
      <w:r w:rsidR="00B72384">
        <w:t xml:space="preserve"> for</w:t>
      </w:r>
      <w:r w:rsidR="00681CC4">
        <w:t xml:space="preserve"> an extremely low permanent supportive housing project for the Veterans Housing Development Corporation</w:t>
      </w:r>
      <w:r w:rsidR="000A57AB">
        <w:t xml:space="preserve"> </w:t>
      </w:r>
      <w:commentRangeEnd w:id="77"/>
      <w:r w:rsidR="00A7617F">
        <w:rPr>
          <w:rStyle w:val="CommentReference"/>
          <w:rFonts w:eastAsia="Times"/>
        </w:rPr>
        <w:commentReference w:id="77"/>
      </w:r>
      <w:commentRangeEnd w:id="78"/>
      <w:r w:rsidR="003C1ECF">
        <w:rPr>
          <w:rStyle w:val="CommentReference"/>
          <w:rFonts w:eastAsia="Times"/>
        </w:rPr>
        <w:commentReference w:id="78"/>
      </w:r>
      <w:r w:rsidR="000A57AB">
        <w:t>and includes expenses.</w:t>
      </w:r>
    </w:p>
    <w:p w14:paraId="433EA98F" w14:textId="0272EEAD" w:rsidR="00A93772" w:rsidRDefault="007C75C5" w:rsidP="00A667B5">
      <w:pPr>
        <w:pStyle w:val="RSGBody"/>
        <w:jc w:val="center"/>
      </w:pPr>
      <w:r w:rsidRPr="007C75C5" w:rsidDel="00427C0A">
        <w:t xml:space="preserve"> </w:t>
      </w:r>
      <w:r w:rsidR="00681CC4" w:rsidRPr="00681CC4">
        <w:rPr>
          <w:noProof/>
        </w:rPr>
        <w:drawing>
          <wp:inline distT="0" distB="0" distL="0" distR="0" wp14:anchorId="0E3B1295" wp14:editId="0B44864C">
            <wp:extent cx="5080000" cy="4724400"/>
            <wp:effectExtent l="0" t="0" r="0" b="0"/>
            <wp:docPr id="707568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68626" name=""/>
                    <pic:cNvPicPr/>
                  </pic:nvPicPr>
                  <pic:blipFill>
                    <a:blip r:embed="rId23"/>
                    <a:stretch>
                      <a:fillRect/>
                    </a:stretch>
                  </pic:blipFill>
                  <pic:spPr>
                    <a:xfrm>
                      <a:off x="0" y="0"/>
                      <a:ext cx="5080000" cy="4724400"/>
                    </a:xfrm>
                    <a:prstGeom prst="rect">
                      <a:avLst/>
                    </a:prstGeom>
                  </pic:spPr>
                </pic:pic>
              </a:graphicData>
            </a:graphic>
          </wp:inline>
        </w:drawing>
      </w:r>
    </w:p>
    <w:p w14:paraId="053F6BC7" w14:textId="2DD136A1" w:rsidR="00A93772" w:rsidRDefault="00706461" w:rsidP="00403E80">
      <w:pPr>
        <w:pStyle w:val="RSGBody"/>
      </w:pPr>
      <w:bookmarkStart w:id="79" w:name="_Hlk22740845"/>
      <w:r>
        <w:t>The City</w:t>
      </w:r>
      <w:r w:rsidR="00403E80">
        <w:t xml:space="preserve"> will continue monitoring its deposits and fund balance to avoid any future excess surplus. </w:t>
      </w:r>
      <w:r w:rsidR="008D6DB0">
        <w:t xml:space="preserve">If </w:t>
      </w:r>
      <w:r w:rsidR="00403E80">
        <w:t>the</w:t>
      </w:r>
      <w:r w:rsidR="008D6DB0">
        <w:t xml:space="preserve"> Housing Successor </w:t>
      </w:r>
      <w:r w:rsidR="003B2A0B">
        <w:t>has</w:t>
      </w:r>
      <w:r w:rsidR="00403E80">
        <w:t xml:space="preserve"> an excess surplus, it must be expended or encumbered within three fiscal years.  If the housing successor fails to comply, it must transfer any excess surplus to HCD within 90 days of the end of the third fiscal year.</w:t>
      </w:r>
    </w:p>
    <w:p w14:paraId="526E7FAE" w14:textId="3D704B96" w:rsidR="00536A2B" w:rsidRPr="00536A2B" w:rsidRDefault="001F2AC0" w:rsidP="00536A2B">
      <w:pPr>
        <w:pStyle w:val="RSGHeading01"/>
      </w:pPr>
      <w:bookmarkStart w:id="80" w:name="_Toc64463478"/>
      <w:bookmarkStart w:id="81" w:name="_Toc160613169"/>
      <w:bookmarkEnd w:id="79"/>
      <w:r w:rsidRPr="008C1425">
        <w:t>Other Information</w:t>
      </w:r>
      <w:bookmarkEnd w:id="80"/>
      <w:bookmarkEnd w:id="81"/>
    </w:p>
    <w:p w14:paraId="223EE412" w14:textId="77777777" w:rsidR="00C909A0" w:rsidRDefault="00C909A0" w:rsidP="0011467B"/>
    <w:p w14:paraId="379E6D93" w14:textId="18109BBA" w:rsidR="00C909A0" w:rsidRPr="0016586F" w:rsidRDefault="0011467B" w:rsidP="005D7551">
      <w:pPr>
        <w:pStyle w:val="RSGHeading02"/>
      </w:pPr>
      <w:bookmarkStart w:id="82" w:name="_Toc160613170"/>
      <w:r>
        <w:t>Transfers to Other Housing Successors</w:t>
      </w:r>
      <w:bookmarkEnd w:id="82"/>
    </w:p>
    <w:p w14:paraId="3474FE00" w14:textId="19D3ED86" w:rsidR="009C3839" w:rsidRDefault="009C3839" w:rsidP="009C3839">
      <w:pPr>
        <w:pStyle w:val="RSGBody"/>
      </w:pPr>
      <w:r w:rsidRPr="005900E6">
        <w:t>There were no transfers to another housing successor entity for a joint project</w:t>
      </w:r>
      <w:r>
        <w:t xml:space="preserve"> </w:t>
      </w:r>
      <w:r w:rsidR="00C25EA9">
        <w:t>under</w:t>
      </w:r>
      <w:r>
        <w:t xml:space="preserve"> HSC Section 34176.1(c)(2)</w:t>
      </w:r>
      <w:r w:rsidRPr="005900E6">
        <w:t>.</w:t>
      </w:r>
    </w:p>
    <w:p w14:paraId="2BDA9EB4" w14:textId="79D49F72" w:rsidR="00ED2944" w:rsidRPr="00ED2944" w:rsidRDefault="00ED2944" w:rsidP="005D7551">
      <w:pPr>
        <w:pStyle w:val="RSGHeading02"/>
        <w:rPr>
          <w:sz w:val="22"/>
        </w:rPr>
      </w:pPr>
      <w:bookmarkStart w:id="83" w:name="_Toc160613171"/>
      <w:r w:rsidRPr="00ED2944">
        <w:t>Homeownership Unit Inventory</w:t>
      </w:r>
      <w:bookmarkEnd w:id="83"/>
    </w:p>
    <w:p w14:paraId="75B1E7A1" w14:textId="45C57D8B" w:rsidR="00421E9B" w:rsidRDefault="007C129C" w:rsidP="005D7551">
      <w:pPr>
        <w:pStyle w:val="RSGBody"/>
        <w:rPr>
          <w:rFonts w:ascii="Arial Black" w:hAnsi="Arial Black"/>
          <w:color w:val="FFFFFF" w:themeColor="background1"/>
          <w:spacing w:val="20"/>
          <w:kern w:val="28"/>
          <w:sz w:val="28"/>
        </w:rPr>
      </w:pPr>
      <w:r>
        <w:t>There are 124 h</w:t>
      </w:r>
      <w:r w:rsidR="00ED2944" w:rsidRPr="00ED2944">
        <w:t xml:space="preserve">omeownership units assisted by the </w:t>
      </w:r>
      <w:r w:rsidR="00AC544B">
        <w:t>Housing Successor</w:t>
      </w:r>
      <w:r w:rsidR="00ED2944" w:rsidRPr="00ED2944">
        <w:t xml:space="preserve"> that </w:t>
      </w:r>
      <w:r>
        <w:t xml:space="preserve">have </w:t>
      </w:r>
      <w:r w:rsidR="00ED2944" w:rsidRPr="00ED2944">
        <w:t xml:space="preserve">restrictions, </w:t>
      </w:r>
      <w:r>
        <w:t xml:space="preserve">affordable </w:t>
      </w:r>
      <w:r w:rsidR="00ED2944" w:rsidRPr="00ED2944">
        <w:t>covenants, or an adopted program that protects Housing Asset Fund monies</w:t>
      </w:r>
      <w:r>
        <w:t>. Further details are provided</w:t>
      </w:r>
      <w:r w:rsidR="004F23CA">
        <w:t xml:space="preserve"> </w:t>
      </w:r>
      <w:r w:rsidR="004F23CA" w:rsidRPr="004B1588">
        <w:t xml:space="preserve">in </w:t>
      </w:r>
      <w:r w:rsidR="004F23CA" w:rsidRPr="00953F99">
        <w:t>Appendix</w:t>
      </w:r>
      <w:bookmarkEnd w:id="33"/>
      <w:r w:rsidR="00854013" w:rsidRPr="00953F99">
        <w:t xml:space="preserve"> 4.</w:t>
      </w:r>
      <w:r w:rsidR="00421E9B">
        <w:br w:type="page"/>
      </w:r>
    </w:p>
    <w:p w14:paraId="1ADF2D83" w14:textId="46B054CC" w:rsidR="00A87F1A" w:rsidRPr="00FD07A1" w:rsidRDefault="00A87F1A" w:rsidP="00A87F1A">
      <w:pPr>
        <w:pStyle w:val="RSGHeading01"/>
      </w:pPr>
      <w:bookmarkStart w:id="84" w:name="_Toc160613172"/>
      <w:r w:rsidRPr="00602833">
        <w:t xml:space="preserve">APPENDIX </w:t>
      </w:r>
      <w:r w:rsidR="00B06079">
        <w:t>1</w:t>
      </w:r>
      <w:r>
        <w:t xml:space="preserve"> – Housing Asset transfer form</w:t>
      </w:r>
      <w:bookmarkEnd w:id="84"/>
      <w:r>
        <w:t xml:space="preserve"> </w:t>
      </w:r>
    </w:p>
    <w:p w14:paraId="33096D34" w14:textId="77777777" w:rsidR="00421E9B" w:rsidRDefault="00421E9B" w:rsidP="00421E9B">
      <w:pPr>
        <w:pStyle w:val="paragraph"/>
        <w:spacing w:before="0" w:beforeAutospacing="0" w:after="0" w:afterAutospacing="0"/>
        <w:jc w:val="center"/>
        <w:textAlignment w:val="baseline"/>
        <w:rPr>
          <w:rFonts w:ascii="Arial" w:hAnsi="Arial" w:cs="Arial"/>
        </w:rPr>
      </w:pPr>
    </w:p>
    <w:p w14:paraId="7EE1A944" w14:textId="686CDA8E" w:rsidR="00A87F1A" w:rsidRDefault="00A87F1A" w:rsidP="005D7551">
      <w:pPr>
        <w:pStyle w:val="paragraph"/>
        <w:spacing w:before="0" w:beforeAutospacing="0" w:after="0" w:afterAutospacing="0"/>
        <w:textAlignment w:val="baseline"/>
        <w:rPr>
          <w:rFonts w:ascii="Arial" w:hAnsi="Arial" w:cs="Arial"/>
        </w:rPr>
      </w:pPr>
      <w:r w:rsidRPr="00A57DCD">
        <w:rPr>
          <w:rFonts w:ascii="Arial" w:hAnsi="Arial" w:cs="Arial"/>
        </w:rPr>
        <w:t>The HAT form is attached as a separate document.</w:t>
      </w:r>
    </w:p>
    <w:p w14:paraId="32279C20" w14:textId="77777777" w:rsidR="00A87F1A" w:rsidRDefault="00A87F1A" w:rsidP="00A87F1A">
      <w:pPr>
        <w:rPr>
          <w:rFonts w:cs="Arial"/>
        </w:rPr>
      </w:pPr>
      <w:r>
        <w:rPr>
          <w:rFonts w:cs="Arial"/>
        </w:rPr>
        <w:br w:type="page"/>
      </w:r>
    </w:p>
    <w:p w14:paraId="0E06913C" w14:textId="47D56B59" w:rsidR="00A87F1A" w:rsidRPr="00854013" w:rsidRDefault="00A87F1A" w:rsidP="00854013">
      <w:pPr>
        <w:pStyle w:val="RSGBody"/>
        <w:sectPr w:rsidR="00A87F1A" w:rsidRPr="00854013" w:rsidSect="002A7695">
          <w:footerReference w:type="default" r:id="rId24"/>
          <w:pgSz w:w="12240" w:h="15840" w:code="1"/>
          <w:pgMar w:top="1800" w:right="1080" w:bottom="1161" w:left="1080" w:header="720" w:footer="720" w:gutter="0"/>
          <w:pgNumType w:start="1"/>
          <w:cols w:space="720"/>
          <w:docGrid w:linePitch="360"/>
        </w:sectPr>
      </w:pPr>
    </w:p>
    <w:p w14:paraId="01F93BB5" w14:textId="5FE8BCD6" w:rsidR="00BD7670" w:rsidRPr="005E5637" w:rsidRDefault="00B42F4C" w:rsidP="00C02200">
      <w:pPr>
        <w:pStyle w:val="RSGHeading01"/>
      </w:pPr>
      <w:bookmarkStart w:id="85" w:name="_Toc160613173"/>
      <w:r w:rsidRPr="005E5637">
        <w:t xml:space="preserve">APPENDIX </w:t>
      </w:r>
      <w:r w:rsidR="00A87F1A">
        <w:t>2</w:t>
      </w:r>
      <w:r w:rsidR="00FD07A1">
        <w:t xml:space="preserve"> - </w:t>
      </w:r>
      <w:r w:rsidR="001403F5">
        <w:t>Housing Successor Annual Report Requirements</w:t>
      </w:r>
      <w:bookmarkEnd w:id="85"/>
    </w:p>
    <w:tbl>
      <w:tblPr>
        <w:tblW w:w="10447"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7"/>
        <w:gridCol w:w="8370"/>
      </w:tblGrid>
      <w:tr w:rsidR="007F3441" w:rsidRPr="00A42FA0" w14:paraId="73A13A51" w14:textId="77777777" w:rsidTr="00BB027B">
        <w:trPr>
          <w:trHeight w:val="375"/>
        </w:trPr>
        <w:tc>
          <w:tcPr>
            <w:tcW w:w="10447" w:type="dxa"/>
            <w:gridSpan w:val="2"/>
            <w:tcBorders>
              <w:top w:val="single" w:sz="6" w:space="0" w:color="auto"/>
              <w:left w:val="single" w:sz="6" w:space="0" w:color="auto"/>
              <w:bottom w:val="single" w:sz="6" w:space="0" w:color="auto"/>
              <w:right w:val="single" w:sz="6" w:space="0" w:color="auto"/>
            </w:tcBorders>
            <w:shd w:val="clear" w:color="auto" w:fill="365F91"/>
            <w:hideMark/>
          </w:tcPr>
          <w:p w14:paraId="1C7946E3" w14:textId="77777777" w:rsidR="007F3441" w:rsidRPr="00A42FA0" w:rsidRDefault="007F3441" w:rsidP="00BB027B">
            <w:pPr>
              <w:pStyle w:val="paragraph"/>
              <w:spacing w:before="0" w:beforeAutospacing="0" w:after="0" w:afterAutospacing="0"/>
              <w:jc w:val="center"/>
              <w:textAlignment w:val="baseline"/>
              <w:rPr>
                <w:rFonts w:ascii="Arial" w:hAnsi="Arial" w:cs="Arial"/>
                <w:sz w:val="22"/>
                <w:szCs w:val="22"/>
              </w:rPr>
            </w:pPr>
            <w:r w:rsidRPr="00A42FA0">
              <w:rPr>
                <w:rStyle w:val="normaltextrun"/>
                <w:rFonts w:ascii="Arial" w:hAnsi="Arial" w:cs="Arial"/>
                <w:i/>
                <w:iCs/>
                <w:color w:val="FFFFFF"/>
                <w:sz w:val="22"/>
                <w:szCs w:val="22"/>
              </w:rPr>
              <w:t>Health and Safety Code Section 34176.1(f)</w:t>
            </w:r>
            <w:r w:rsidRPr="00A42FA0">
              <w:rPr>
                <w:rStyle w:val="eop"/>
                <w:rFonts w:ascii="Arial" w:hAnsi="Arial" w:cs="Arial"/>
                <w:color w:val="FFFFFF"/>
                <w:sz w:val="22"/>
                <w:szCs w:val="22"/>
              </w:rPr>
              <w:t> </w:t>
            </w:r>
          </w:p>
        </w:tc>
      </w:tr>
      <w:tr w:rsidR="007F3441" w:rsidRPr="00A42FA0" w14:paraId="7D8DBDBD" w14:textId="77777777" w:rsidTr="00BB027B">
        <w:trPr>
          <w:trHeight w:val="3360"/>
        </w:trPr>
        <w:tc>
          <w:tcPr>
            <w:tcW w:w="2077" w:type="dxa"/>
            <w:tcBorders>
              <w:top w:val="nil"/>
              <w:left w:val="single" w:sz="6" w:space="0" w:color="auto"/>
              <w:bottom w:val="single" w:sz="6" w:space="0" w:color="auto"/>
              <w:right w:val="single" w:sz="6" w:space="0" w:color="auto"/>
            </w:tcBorders>
            <w:shd w:val="clear" w:color="auto" w:fill="auto"/>
            <w:hideMark/>
          </w:tcPr>
          <w:p w14:paraId="0B473D0D"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46FDC682"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b/>
                <w:bCs/>
                <w:sz w:val="22"/>
                <w:szCs w:val="22"/>
              </w:rPr>
              <w:t>Housing Asset Fund</w:t>
            </w:r>
            <w:r w:rsidRPr="00A42FA0">
              <w:rPr>
                <w:rStyle w:val="eop"/>
                <w:rFonts w:ascii="Arial" w:hAnsi="Arial" w:cs="Arial"/>
                <w:sz w:val="22"/>
                <w:szCs w:val="22"/>
              </w:rPr>
              <w:t> </w:t>
            </w:r>
          </w:p>
          <w:p w14:paraId="10B53834"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b/>
                <w:bCs/>
                <w:sz w:val="22"/>
                <w:szCs w:val="22"/>
              </w:rPr>
              <w:t>Revenues &amp; Expenditures</w:t>
            </w:r>
            <w:r w:rsidRPr="00A42FA0">
              <w:rPr>
                <w:rStyle w:val="eop"/>
                <w:rFonts w:ascii="Arial" w:hAnsi="Arial" w:cs="Arial"/>
                <w:sz w:val="22"/>
                <w:szCs w:val="22"/>
              </w:rPr>
              <w:t> </w:t>
            </w:r>
          </w:p>
        </w:tc>
        <w:tc>
          <w:tcPr>
            <w:tcW w:w="8370" w:type="dxa"/>
            <w:tcBorders>
              <w:top w:val="nil"/>
              <w:left w:val="nil"/>
              <w:bottom w:val="single" w:sz="6" w:space="0" w:color="auto"/>
              <w:right w:val="single" w:sz="6" w:space="0" w:color="auto"/>
            </w:tcBorders>
            <w:shd w:val="clear" w:color="auto" w:fill="auto"/>
            <w:hideMark/>
          </w:tcPr>
          <w:p w14:paraId="1339E79A"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2F76C814"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Total amount deposited in the Housing Asset Fund for the fiscal year.</w:t>
            </w:r>
            <w:r w:rsidRPr="00A42FA0">
              <w:rPr>
                <w:rStyle w:val="eop"/>
                <w:rFonts w:ascii="Arial" w:hAnsi="Arial" w:cs="Arial"/>
                <w:sz w:val="22"/>
                <w:szCs w:val="22"/>
              </w:rPr>
              <w:t> </w:t>
            </w:r>
          </w:p>
          <w:p w14:paraId="7AE66587"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73D1EA12"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Amount</w:t>
            </w:r>
            <w:r w:rsidRPr="00A42FA0">
              <w:rPr>
                <w:rStyle w:val="apple-converted-space"/>
                <w:rFonts w:ascii="Arial" w:hAnsi="Arial" w:cs="Arial"/>
                <w:sz w:val="22"/>
                <w:szCs w:val="22"/>
              </w:rPr>
              <w:t> </w:t>
            </w:r>
            <w:r w:rsidRPr="00A42FA0">
              <w:rPr>
                <w:rStyle w:val="normaltextrun"/>
                <w:rFonts w:ascii="Arial" w:hAnsi="Arial" w:cs="Arial"/>
                <w:sz w:val="22"/>
                <w:szCs w:val="22"/>
              </w:rPr>
              <w:t>of deposits funded by a Recognized Obligation Payment Schedule (“ROPS”).</w:t>
            </w:r>
            <w:r w:rsidRPr="00A42FA0">
              <w:rPr>
                <w:rStyle w:val="eop"/>
                <w:rFonts w:ascii="Arial" w:hAnsi="Arial" w:cs="Arial"/>
                <w:sz w:val="22"/>
                <w:szCs w:val="22"/>
              </w:rPr>
              <w:t> </w:t>
            </w:r>
          </w:p>
          <w:p w14:paraId="570DA275"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411E4E53"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Statement of balance at the close of the fiscal year.</w:t>
            </w:r>
            <w:r w:rsidRPr="00A42FA0">
              <w:rPr>
                <w:rStyle w:val="eop"/>
                <w:rFonts w:ascii="Arial" w:hAnsi="Arial" w:cs="Arial"/>
                <w:sz w:val="22"/>
                <w:szCs w:val="22"/>
              </w:rPr>
              <w:t> </w:t>
            </w:r>
          </w:p>
          <w:p w14:paraId="42AFAE9A"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68CA2BB9"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Description of Expenditures for the fiscal year, broken out as follows:</w:t>
            </w:r>
            <w:r w:rsidRPr="00A42FA0">
              <w:rPr>
                <w:rStyle w:val="eop"/>
                <w:rFonts w:ascii="Arial" w:hAnsi="Arial" w:cs="Arial"/>
                <w:sz w:val="22"/>
                <w:szCs w:val="22"/>
              </w:rPr>
              <w:t> </w:t>
            </w:r>
          </w:p>
          <w:p w14:paraId="2EFC59FC" w14:textId="77777777" w:rsidR="007F3441" w:rsidRPr="00A42FA0" w:rsidRDefault="007F3441" w:rsidP="007F3441">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A42FA0">
              <w:rPr>
                <w:rStyle w:val="normaltextrun"/>
                <w:rFonts w:ascii="Arial" w:hAnsi="Arial" w:cs="Arial"/>
                <w:sz w:val="22"/>
                <w:szCs w:val="22"/>
              </w:rPr>
              <w:t>Homeless prevention and rapid rehousing</w:t>
            </w:r>
            <w:r w:rsidRPr="00A42FA0">
              <w:rPr>
                <w:rStyle w:val="eop"/>
                <w:rFonts w:ascii="Arial" w:hAnsi="Arial" w:cs="Arial"/>
                <w:sz w:val="22"/>
                <w:szCs w:val="22"/>
              </w:rPr>
              <w:t> </w:t>
            </w:r>
          </w:p>
          <w:p w14:paraId="2214E31A" w14:textId="77777777" w:rsidR="007F3441" w:rsidRPr="00A42FA0" w:rsidRDefault="007F3441" w:rsidP="007F3441">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A42FA0">
              <w:rPr>
                <w:rStyle w:val="normaltextrun"/>
                <w:rFonts w:ascii="Arial" w:hAnsi="Arial" w:cs="Arial"/>
                <w:sz w:val="22"/>
                <w:szCs w:val="22"/>
              </w:rPr>
              <w:t>Administrative and monitoring</w:t>
            </w:r>
            <w:r w:rsidRPr="00A42FA0">
              <w:rPr>
                <w:rStyle w:val="eop"/>
                <w:rFonts w:ascii="Arial" w:hAnsi="Arial" w:cs="Arial"/>
                <w:sz w:val="22"/>
                <w:szCs w:val="22"/>
              </w:rPr>
              <w:t> </w:t>
            </w:r>
          </w:p>
          <w:p w14:paraId="16592C06" w14:textId="77777777" w:rsidR="007F3441" w:rsidRPr="00A42FA0" w:rsidRDefault="007F3441" w:rsidP="007F3441">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A42FA0">
              <w:rPr>
                <w:rStyle w:val="normaltextrun"/>
                <w:rFonts w:ascii="Arial" w:hAnsi="Arial" w:cs="Arial"/>
                <w:sz w:val="22"/>
                <w:szCs w:val="22"/>
              </w:rPr>
              <w:t>Housing development expenses by income level</w:t>
            </w:r>
            <w:r w:rsidRPr="00A42FA0">
              <w:rPr>
                <w:rStyle w:val="apple-converted-space"/>
                <w:rFonts w:ascii="Arial" w:hAnsi="Arial" w:cs="Arial"/>
                <w:sz w:val="22"/>
                <w:szCs w:val="22"/>
              </w:rPr>
              <w:t> </w:t>
            </w:r>
            <w:r w:rsidRPr="00A42FA0">
              <w:rPr>
                <w:rStyle w:val="normaltextrun"/>
                <w:rFonts w:ascii="Arial" w:hAnsi="Arial" w:cs="Arial"/>
                <w:sz w:val="22"/>
                <w:szCs w:val="22"/>
              </w:rPr>
              <w:t>assisted</w:t>
            </w:r>
            <w:r w:rsidRPr="00A42FA0">
              <w:rPr>
                <w:rStyle w:val="eop"/>
                <w:rFonts w:ascii="Arial" w:hAnsi="Arial" w:cs="Arial"/>
                <w:sz w:val="22"/>
                <w:szCs w:val="22"/>
              </w:rPr>
              <w:t> </w:t>
            </w:r>
          </w:p>
          <w:p w14:paraId="75FA91E8"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28BC662C"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Description of any transfers to another housing successor for a joint project.</w:t>
            </w:r>
            <w:r w:rsidRPr="00A42FA0">
              <w:rPr>
                <w:rStyle w:val="eop"/>
                <w:rFonts w:ascii="Arial" w:hAnsi="Arial" w:cs="Arial"/>
                <w:sz w:val="22"/>
                <w:szCs w:val="22"/>
              </w:rPr>
              <w:t> </w:t>
            </w:r>
          </w:p>
          <w:p w14:paraId="5EA8673F"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tc>
      </w:tr>
      <w:tr w:rsidR="007F3441" w:rsidRPr="00A42FA0" w14:paraId="0201C5EC" w14:textId="77777777" w:rsidTr="00BB027B">
        <w:trPr>
          <w:trHeight w:val="3495"/>
        </w:trPr>
        <w:tc>
          <w:tcPr>
            <w:tcW w:w="2077" w:type="dxa"/>
            <w:tcBorders>
              <w:top w:val="nil"/>
              <w:left w:val="single" w:sz="6" w:space="0" w:color="auto"/>
              <w:bottom w:val="single" w:sz="6" w:space="0" w:color="auto"/>
              <w:right w:val="single" w:sz="6" w:space="0" w:color="auto"/>
            </w:tcBorders>
            <w:shd w:val="clear" w:color="auto" w:fill="auto"/>
            <w:hideMark/>
          </w:tcPr>
          <w:p w14:paraId="41B50468"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5876D04A"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b/>
                <w:bCs/>
                <w:sz w:val="22"/>
                <w:szCs w:val="22"/>
              </w:rPr>
              <w:t>Other Assets and Active Projects</w:t>
            </w:r>
            <w:r w:rsidRPr="00A42FA0">
              <w:rPr>
                <w:rStyle w:val="eop"/>
                <w:rFonts w:ascii="Arial" w:hAnsi="Arial" w:cs="Arial"/>
                <w:sz w:val="22"/>
                <w:szCs w:val="22"/>
              </w:rPr>
              <w:t> </w:t>
            </w:r>
          </w:p>
        </w:tc>
        <w:tc>
          <w:tcPr>
            <w:tcW w:w="8370" w:type="dxa"/>
            <w:tcBorders>
              <w:top w:val="nil"/>
              <w:left w:val="nil"/>
              <w:bottom w:val="single" w:sz="6" w:space="0" w:color="auto"/>
              <w:right w:val="single" w:sz="6" w:space="0" w:color="auto"/>
            </w:tcBorders>
            <w:shd w:val="clear" w:color="auto" w:fill="auto"/>
            <w:hideMark/>
          </w:tcPr>
          <w:p w14:paraId="61217DCC"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5CE3EFEC"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Description of any project(s) funded through the ROPS.</w:t>
            </w:r>
            <w:r w:rsidRPr="00A42FA0">
              <w:rPr>
                <w:rStyle w:val="eop"/>
                <w:rFonts w:ascii="Arial" w:hAnsi="Arial" w:cs="Arial"/>
                <w:sz w:val="22"/>
                <w:szCs w:val="22"/>
              </w:rPr>
              <w:t> </w:t>
            </w:r>
          </w:p>
          <w:p w14:paraId="2F781165"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2C400F4F" w14:textId="7AEDA1E9"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 xml:space="preserve">Update on property disposition efforts (note that housing successors may only hold </w:t>
            </w:r>
            <w:r w:rsidR="000D1B7A">
              <w:rPr>
                <w:rStyle w:val="normaltextrun"/>
                <w:rFonts w:ascii="Arial" w:hAnsi="Arial" w:cs="Arial"/>
                <w:sz w:val="22"/>
                <w:szCs w:val="22"/>
              </w:rPr>
              <w:t xml:space="preserve">a </w:t>
            </w:r>
            <w:r w:rsidRPr="00A42FA0">
              <w:rPr>
                <w:rStyle w:val="normaltextrun"/>
                <w:rFonts w:ascii="Arial" w:hAnsi="Arial" w:cs="Arial"/>
                <w:sz w:val="22"/>
                <w:szCs w:val="22"/>
              </w:rPr>
              <w:t xml:space="preserve">property for up to five </w:t>
            </w:r>
            <w:r w:rsidR="000D1B7A" w:rsidRPr="00A42FA0">
              <w:rPr>
                <w:rStyle w:val="normaltextrun"/>
                <w:rFonts w:ascii="Arial" w:hAnsi="Arial" w:cs="Arial"/>
                <w:sz w:val="22"/>
                <w:szCs w:val="22"/>
              </w:rPr>
              <w:t>years unless</w:t>
            </w:r>
            <w:r w:rsidRPr="00A42FA0">
              <w:rPr>
                <w:rStyle w:val="normaltextrun"/>
                <w:rFonts w:ascii="Arial" w:hAnsi="Arial" w:cs="Arial"/>
                <w:sz w:val="22"/>
                <w:szCs w:val="22"/>
              </w:rPr>
              <w:t xml:space="preserve"> it is already</w:t>
            </w:r>
            <w:r w:rsidRPr="00A42FA0">
              <w:rPr>
                <w:rStyle w:val="apple-converted-space"/>
                <w:rFonts w:ascii="Arial" w:hAnsi="Arial" w:cs="Arial"/>
                <w:sz w:val="22"/>
                <w:szCs w:val="22"/>
              </w:rPr>
              <w:t> </w:t>
            </w:r>
            <w:r w:rsidRPr="00A42FA0">
              <w:rPr>
                <w:rStyle w:val="normaltextrun"/>
                <w:rFonts w:ascii="Arial" w:hAnsi="Arial" w:cs="Arial"/>
                <w:sz w:val="22"/>
                <w:szCs w:val="22"/>
              </w:rPr>
              <w:t>developed with affordable housing).</w:t>
            </w:r>
            <w:r w:rsidRPr="00A42FA0">
              <w:rPr>
                <w:rStyle w:val="eop"/>
                <w:rFonts w:ascii="Arial" w:hAnsi="Arial" w:cs="Arial"/>
                <w:sz w:val="22"/>
                <w:szCs w:val="22"/>
              </w:rPr>
              <w:t> </w:t>
            </w:r>
          </w:p>
          <w:p w14:paraId="30980558"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5311CAEC"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Other “portfolio” balances, including:</w:t>
            </w:r>
            <w:r w:rsidRPr="00A42FA0">
              <w:rPr>
                <w:rStyle w:val="eop"/>
                <w:rFonts w:ascii="Arial" w:hAnsi="Arial" w:cs="Arial"/>
                <w:sz w:val="22"/>
                <w:szCs w:val="22"/>
              </w:rPr>
              <w:t> </w:t>
            </w:r>
          </w:p>
          <w:p w14:paraId="6CA2A449" w14:textId="096965C1" w:rsidR="007F3441" w:rsidRPr="00A42FA0" w:rsidRDefault="000D1B7A" w:rsidP="007F3441">
            <w:pPr>
              <w:pStyle w:val="paragraph"/>
              <w:numPr>
                <w:ilvl w:val="0"/>
                <w:numId w:val="2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The statutory</w:t>
            </w:r>
            <w:r w:rsidR="007F3441" w:rsidRPr="00A42FA0">
              <w:rPr>
                <w:rStyle w:val="normaltextrun"/>
                <w:rFonts w:ascii="Arial" w:hAnsi="Arial" w:cs="Arial"/>
                <w:sz w:val="22"/>
                <w:szCs w:val="22"/>
              </w:rPr>
              <w:t xml:space="preserve"> value of any real property either transferred from the former Agency or purchased by the Housing Asset Fund </w:t>
            </w:r>
            <w:r w:rsidR="007F3441" w:rsidRPr="00A42FA0">
              <w:rPr>
                <w:rStyle w:val="eop"/>
                <w:rFonts w:ascii="Arial" w:hAnsi="Arial" w:cs="Arial"/>
                <w:sz w:val="22"/>
                <w:szCs w:val="22"/>
              </w:rPr>
              <w:t> </w:t>
            </w:r>
          </w:p>
          <w:p w14:paraId="36857B95" w14:textId="77777777" w:rsidR="007F3441" w:rsidRPr="00A42FA0" w:rsidRDefault="007F3441" w:rsidP="007F3441">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A42FA0">
              <w:rPr>
                <w:rStyle w:val="normaltextrun"/>
                <w:rFonts w:ascii="Arial" w:hAnsi="Arial" w:cs="Arial"/>
                <w:sz w:val="22"/>
                <w:szCs w:val="22"/>
              </w:rPr>
              <w:t>Value of loans and grants receivable</w:t>
            </w:r>
            <w:r w:rsidRPr="00A42FA0">
              <w:rPr>
                <w:rStyle w:val="eop"/>
                <w:rFonts w:ascii="Arial" w:hAnsi="Arial" w:cs="Arial"/>
                <w:sz w:val="22"/>
                <w:szCs w:val="22"/>
              </w:rPr>
              <w:t> </w:t>
            </w:r>
          </w:p>
          <w:p w14:paraId="39E2CEBB"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4D21C056" w14:textId="2B714534"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Inventory of homeownership units assisted by the former Agency or the housing successor that are subject to covenants or restrictions or to an adopted program that protects the former Agency’s investment of monies from the</w:t>
            </w:r>
            <w:r w:rsidRPr="00A42FA0">
              <w:rPr>
                <w:rStyle w:val="apple-converted-space"/>
                <w:rFonts w:ascii="Arial" w:hAnsi="Arial" w:cs="Arial"/>
                <w:sz w:val="22"/>
                <w:szCs w:val="22"/>
              </w:rPr>
              <w:t> </w:t>
            </w:r>
            <w:r w:rsidR="000D1B7A" w:rsidRPr="00A42FA0">
              <w:rPr>
                <w:rStyle w:val="normaltextrun"/>
                <w:rFonts w:ascii="Arial" w:hAnsi="Arial" w:cs="Arial"/>
                <w:sz w:val="22"/>
                <w:szCs w:val="22"/>
              </w:rPr>
              <w:t>Low- and Moderate-Income</w:t>
            </w:r>
            <w:r w:rsidRPr="00A42FA0">
              <w:rPr>
                <w:rStyle w:val="apple-converted-space"/>
                <w:rFonts w:ascii="Arial" w:hAnsi="Arial" w:cs="Arial"/>
                <w:sz w:val="22"/>
                <w:szCs w:val="22"/>
              </w:rPr>
              <w:t> </w:t>
            </w:r>
            <w:r w:rsidRPr="00A42FA0">
              <w:rPr>
                <w:rStyle w:val="normaltextrun"/>
                <w:rFonts w:ascii="Arial" w:hAnsi="Arial" w:cs="Arial"/>
                <w:sz w:val="22"/>
                <w:szCs w:val="22"/>
              </w:rPr>
              <w:t>Housing Fund.</w:t>
            </w:r>
            <w:r w:rsidRPr="00A42FA0">
              <w:rPr>
                <w:rStyle w:val="eop"/>
                <w:rFonts w:ascii="Arial" w:hAnsi="Arial" w:cs="Arial"/>
                <w:sz w:val="22"/>
                <w:szCs w:val="22"/>
              </w:rPr>
              <w:t> </w:t>
            </w:r>
          </w:p>
          <w:p w14:paraId="22DC8C5E"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tc>
      </w:tr>
      <w:tr w:rsidR="007F3441" w:rsidRPr="00A42FA0" w14:paraId="7B5F4EB0" w14:textId="77777777" w:rsidTr="00BB027B">
        <w:trPr>
          <w:trHeight w:val="2955"/>
        </w:trPr>
        <w:tc>
          <w:tcPr>
            <w:tcW w:w="2077" w:type="dxa"/>
            <w:tcBorders>
              <w:top w:val="nil"/>
              <w:left w:val="single" w:sz="6" w:space="0" w:color="auto"/>
              <w:bottom w:val="single" w:sz="6" w:space="0" w:color="auto"/>
              <w:right w:val="single" w:sz="6" w:space="0" w:color="auto"/>
            </w:tcBorders>
            <w:shd w:val="clear" w:color="auto" w:fill="auto"/>
            <w:hideMark/>
          </w:tcPr>
          <w:p w14:paraId="1912A50F"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7B52FE60"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b/>
                <w:bCs/>
                <w:sz w:val="22"/>
                <w:szCs w:val="22"/>
              </w:rPr>
              <w:t>Obligations &amp; Proportionality</w:t>
            </w:r>
            <w:r w:rsidRPr="00A42FA0">
              <w:rPr>
                <w:rStyle w:val="eop"/>
                <w:rFonts w:ascii="Arial" w:hAnsi="Arial" w:cs="Arial"/>
                <w:sz w:val="22"/>
                <w:szCs w:val="22"/>
              </w:rPr>
              <w:t> </w:t>
            </w:r>
          </w:p>
        </w:tc>
        <w:tc>
          <w:tcPr>
            <w:tcW w:w="8370" w:type="dxa"/>
            <w:tcBorders>
              <w:top w:val="nil"/>
              <w:left w:val="nil"/>
              <w:bottom w:val="single" w:sz="6" w:space="0" w:color="auto"/>
              <w:right w:val="single" w:sz="6" w:space="0" w:color="auto"/>
            </w:tcBorders>
            <w:shd w:val="clear" w:color="auto" w:fill="auto"/>
            <w:hideMark/>
          </w:tcPr>
          <w:p w14:paraId="39F5961F"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1D8CF6CF" w14:textId="11AA5564"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 xml:space="preserve">Description of any outstanding production obligations of the former Agency that were inherited by the Housing </w:t>
            </w:r>
            <w:r w:rsidR="009A2D49">
              <w:rPr>
                <w:rStyle w:val="normaltextrun"/>
                <w:rFonts w:ascii="Arial" w:hAnsi="Arial" w:cs="Arial"/>
                <w:sz w:val="22"/>
                <w:szCs w:val="22"/>
              </w:rPr>
              <w:t>Successor</w:t>
            </w:r>
            <w:r w:rsidRPr="00A42FA0">
              <w:rPr>
                <w:rStyle w:val="normaltextrun"/>
                <w:rFonts w:ascii="Arial" w:hAnsi="Arial" w:cs="Arial"/>
                <w:sz w:val="22"/>
                <w:szCs w:val="22"/>
              </w:rPr>
              <w:t>.</w:t>
            </w:r>
            <w:r w:rsidRPr="00A42FA0">
              <w:rPr>
                <w:rStyle w:val="eop"/>
                <w:rFonts w:ascii="Arial" w:hAnsi="Arial" w:cs="Arial"/>
                <w:sz w:val="22"/>
                <w:szCs w:val="22"/>
              </w:rPr>
              <w:t> </w:t>
            </w:r>
          </w:p>
          <w:p w14:paraId="43E52AFB"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49AEB979"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Compliance with proportionality requirements (income group targets), which must be upheld on a five-year cycle.</w:t>
            </w:r>
            <w:r w:rsidRPr="00A42FA0">
              <w:rPr>
                <w:rStyle w:val="eop"/>
                <w:rFonts w:ascii="Arial" w:hAnsi="Arial" w:cs="Arial"/>
                <w:sz w:val="22"/>
                <w:szCs w:val="22"/>
              </w:rPr>
              <w:t> </w:t>
            </w:r>
          </w:p>
          <w:p w14:paraId="4F0E2C13"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6DBDBBED" w14:textId="6B448A4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 xml:space="preserve">Percentage of deed-restricted rental housing restricted to seniors and assisted by the former Agency, the Housing </w:t>
            </w:r>
            <w:r w:rsidR="004B1588">
              <w:rPr>
                <w:rStyle w:val="normaltextrun"/>
                <w:rFonts w:ascii="Arial" w:hAnsi="Arial" w:cs="Arial"/>
                <w:sz w:val="22"/>
                <w:szCs w:val="22"/>
              </w:rPr>
              <w:t>Successor</w:t>
            </w:r>
            <w:r w:rsidRPr="00A42FA0">
              <w:rPr>
                <w:rStyle w:val="normaltextrun"/>
                <w:rFonts w:ascii="Arial" w:hAnsi="Arial" w:cs="Arial"/>
                <w:sz w:val="22"/>
                <w:szCs w:val="22"/>
              </w:rPr>
              <w:t>, or the City within the past ten years compared to the total number of units assisted by any of those three agencies.</w:t>
            </w:r>
            <w:r w:rsidRPr="00A42FA0">
              <w:rPr>
                <w:rStyle w:val="eop"/>
                <w:rFonts w:ascii="Arial" w:hAnsi="Arial" w:cs="Arial"/>
                <w:sz w:val="22"/>
                <w:szCs w:val="22"/>
              </w:rPr>
              <w:t> </w:t>
            </w:r>
          </w:p>
          <w:p w14:paraId="22DF69F0"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p w14:paraId="6FEFD2F5"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Amount of any excess surplus, and, if any, the plan for eliminating it.</w:t>
            </w:r>
            <w:r w:rsidRPr="00A42FA0">
              <w:rPr>
                <w:rStyle w:val="eop"/>
                <w:rFonts w:ascii="Arial" w:hAnsi="Arial" w:cs="Arial"/>
                <w:sz w:val="22"/>
                <w:szCs w:val="22"/>
              </w:rPr>
              <w:t> </w:t>
            </w:r>
          </w:p>
          <w:p w14:paraId="5E7CF8BD" w14:textId="77777777" w:rsidR="007F3441" w:rsidRPr="00A42FA0" w:rsidRDefault="007F3441" w:rsidP="00BB027B">
            <w:pPr>
              <w:pStyle w:val="paragraph"/>
              <w:spacing w:before="0" w:beforeAutospacing="0" w:after="0" w:afterAutospacing="0"/>
              <w:textAlignment w:val="baseline"/>
              <w:rPr>
                <w:rFonts w:ascii="Arial" w:hAnsi="Arial" w:cs="Arial"/>
                <w:sz w:val="22"/>
                <w:szCs w:val="22"/>
              </w:rPr>
            </w:pPr>
          </w:p>
        </w:tc>
      </w:tr>
    </w:tbl>
    <w:p w14:paraId="5C889E24" w14:textId="77777777" w:rsidR="0023311A" w:rsidRPr="005F2841" w:rsidRDefault="0023311A" w:rsidP="003A49A7">
      <w:pPr>
        <w:rPr>
          <w:highlight w:val="yellow"/>
        </w:rPr>
        <w:sectPr w:rsidR="0023311A" w:rsidRPr="005F2841" w:rsidSect="002A7695">
          <w:pgSz w:w="12240" w:h="15840" w:code="1"/>
          <w:pgMar w:top="1800" w:right="1080" w:bottom="1440" w:left="1080" w:header="720" w:footer="720" w:gutter="0"/>
          <w:cols w:space="720"/>
          <w:docGrid w:linePitch="360"/>
        </w:sectPr>
      </w:pPr>
    </w:p>
    <w:p w14:paraId="0F8F1346" w14:textId="09C441F8" w:rsidR="00412499" w:rsidRPr="00FD07A1" w:rsidRDefault="002629C6" w:rsidP="00FD07A1">
      <w:pPr>
        <w:pStyle w:val="RSGHeading01"/>
      </w:pPr>
      <w:bookmarkStart w:id="86" w:name="_Toc160613174"/>
      <w:r w:rsidRPr="00602833">
        <w:t xml:space="preserve">APPENDIX </w:t>
      </w:r>
      <w:r w:rsidR="00A87F1A">
        <w:t>3</w:t>
      </w:r>
      <w:r w:rsidR="00FD07A1">
        <w:t xml:space="preserve"> – Housing Asset Fund Expenditure </w:t>
      </w:r>
      <w:r w:rsidR="00286497">
        <w:t>Requirements</w:t>
      </w:r>
      <w:bookmarkEnd w:id="86"/>
    </w:p>
    <w:tbl>
      <w:tblPr>
        <w:tblW w:w="10447" w:type="dxa"/>
        <w:tblInd w:w="-1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5"/>
        <w:gridCol w:w="2072"/>
        <w:gridCol w:w="6660"/>
      </w:tblGrid>
      <w:tr w:rsidR="002C764F" w14:paraId="681B7CED" w14:textId="77777777" w:rsidTr="00BB027B">
        <w:trPr>
          <w:trHeight w:val="465"/>
          <w:tblHeader/>
        </w:trPr>
        <w:tc>
          <w:tcPr>
            <w:tcW w:w="10447" w:type="dxa"/>
            <w:gridSpan w:val="3"/>
            <w:tcBorders>
              <w:top w:val="single" w:sz="6" w:space="0" w:color="auto"/>
              <w:left w:val="single" w:sz="6" w:space="0" w:color="auto"/>
              <w:bottom w:val="single" w:sz="6" w:space="0" w:color="auto"/>
              <w:right w:val="single" w:sz="6" w:space="0" w:color="auto"/>
            </w:tcBorders>
            <w:shd w:val="clear" w:color="auto" w:fill="365F91"/>
            <w:vAlign w:val="center"/>
            <w:hideMark/>
          </w:tcPr>
          <w:p w14:paraId="78DD97F5" w14:textId="77777777" w:rsidR="002C764F" w:rsidRPr="00A42FA0" w:rsidRDefault="002C764F" w:rsidP="00BB027B">
            <w:pPr>
              <w:pStyle w:val="paragraph"/>
              <w:spacing w:before="0" w:beforeAutospacing="0" w:after="0" w:afterAutospacing="0"/>
              <w:jc w:val="center"/>
              <w:textAlignment w:val="baseline"/>
              <w:rPr>
                <w:rFonts w:ascii="Arial" w:hAnsi="Arial" w:cs="Arial"/>
                <w:sz w:val="22"/>
                <w:szCs w:val="22"/>
              </w:rPr>
            </w:pPr>
            <w:r w:rsidRPr="00A42FA0">
              <w:rPr>
                <w:rStyle w:val="normaltextrun"/>
                <w:rFonts w:ascii="Arial" w:hAnsi="Arial" w:cs="Arial"/>
                <w:i/>
                <w:iCs/>
                <w:color w:val="FFFFFF"/>
                <w:sz w:val="22"/>
                <w:szCs w:val="22"/>
              </w:rPr>
              <w:t>Health and Safety Code Section 34176.1</w:t>
            </w:r>
            <w:r w:rsidRPr="00A42FA0">
              <w:rPr>
                <w:rStyle w:val="eop"/>
                <w:rFonts w:ascii="Arial" w:hAnsi="Arial" w:cs="Arial"/>
                <w:color w:val="FFFFFF"/>
                <w:sz w:val="22"/>
                <w:szCs w:val="22"/>
              </w:rPr>
              <w:t> </w:t>
            </w:r>
          </w:p>
        </w:tc>
      </w:tr>
      <w:tr w:rsidR="002C764F" w14:paraId="38A76DD7" w14:textId="77777777" w:rsidTr="00BB027B">
        <w:trPr>
          <w:trHeight w:val="720"/>
          <w:tblHeader/>
        </w:trPr>
        <w:tc>
          <w:tcPr>
            <w:tcW w:w="1715" w:type="dxa"/>
            <w:tcBorders>
              <w:top w:val="nil"/>
              <w:left w:val="single" w:sz="6" w:space="0" w:color="auto"/>
              <w:bottom w:val="single" w:sz="6" w:space="0" w:color="auto"/>
              <w:right w:val="single" w:sz="6" w:space="0" w:color="auto"/>
            </w:tcBorders>
            <w:shd w:val="clear" w:color="auto" w:fill="365F91"/>
            <w:vAlign w:val="center"/>
            <w:hideMark/>
          </w:tcPr>
          <w:p w14:paraId="019471BC" w14:textId="77777777" w:rsidR="002C764F" w:rsidRPr="00A42FA0" w:rsidRDefault="002C764F" w:rsidP="00BB027B">
            <w:pPr>
              <w:pStyle w:val="paragraph"/>
              <w:spacing w:before="0" w:beforeAutospacing="0" w:after="0" w:afterAutospacing="0"/>
              <w:jc w:val="center"/>
              <w:textAlignment w:val="baseline"/>
              <w:rPr>
                <w:rFonts w:ascii="Arial" w:hAnsi="Arial" w:cs="Arial"/>
                <w:sz w:val="22"/>
                <w:szCs w:val="22"/>
              </w:rPr>
            </w:pPr>
            <w:r w:rsidRPr="00A42FA0">
              <w:rPr>
                <w:rStyle w:val="normaltextrun"/>
                <w:rFonts w:ascii="Arial" w:hAnsi="Arial" w:cs="Arial"/>
                <w:color w:val="FFFFFF"/>
                <w:sz w:val="22"/>
                <w:szCs w:val="22"/>
              </w:rPr>
              <w:t>Expense Category</w:t>
            </w:r>
            <w:r w:rsidRPr="00A42FA0">
              <w:rPr>
                <w:rStyle w:val="eop"/>
                <w:rFonts w:ascii="Arial" w:hAnsi="Arial" w:cs="Arial"/>
                <w:color w:val="FFFFFF"/>
                <w:sz w:val="22"/>
                <w:szCs w:val="22"/>
              </w:rPr>
              <w:t> </w:t>
            </w:r>
          </w:p>
        </w:tc>
        <w:tc>
          <w:tcPr>
            <w:tcW w:w="2072" w:type="dxa"/>
            <w:tcBorders>
              <w:top w:val="nil"/>
              <w:left w:val="nil"/>
              <w:bottom w:val="single" w:sz="6" w:space="0" w:color="auto"/>
              <w:right w:val="single" w:sz="6" w:space="0" w:color="auto"/>
            </w:tcBorders>
            <w:shd w:val="clear" w:color="auto" w:fill="365F91"/>
            <w:noWrap/>
            <w:vAlign w:val="center"/>
            <w:hideMark/>
          </w:tcPr>
          <w:p w14:paraId="36DBE069" w14:textId="77777777" w:rsidR="002C764F" w:rsidRPr="00A42FA0" w:rsidRDefault="002C764F" w:rsidP="00BB027B">
            <w:pPr>
              <w:pStyle w:val="paragraph"/>
              <w:spacing w:before="0" w:beforeAutospacing="0" w:after="0" w:afterAutospacing="0"/>
              <w:jc w:val="center"/>
              <w:textAlignment w:val="baseline"/>
              <w:rPr>
                <w:rFonts w:ascii="Arial" w:hAnsi="Arial" w:cs="Arial"/>
                <w:sz w:val="22"/>
                <w:szCs w:val="22"/>
              </w:rPr>
            </w:pPr>
            <w:r w:rsidRPr="00A42FA0">
              <w:rPr>
                <w:rStyle w:val="normaltextrun"/>
                <w:rFonts w:ascii="Arial" w:hAnsi="Arial" w:cs="Arial"/>
                <w:color w:val="FFFFFF"/>
                <w:sz w:val="22"/>
                <w:szCs w:val="22"/>
              </w:rPr>
              <w:t>Limits</w:t>
            </w:r>
            <w:r w:rsidRPr="00A42FA0">
              <w:rPr>
                <w:rStyle w:val="eop"/>
                <w:rFonts w:ascii="Arial" w:hAnsi="Arial" w:cs="Arial"/>
                <w:color w:val="FFFFFF"/>
                <w:sz w:val="22"/>
                <w:szCs w:val="22"/>
              </w:rPr>
              <w:t> </w:t>
            </w:r>
          </w:p>
        </w:tc>
        <w:tc>
          <w:tcPr>
            <w:tcW w:w="6660" w:type="dxa"/>
            <w:tcBorders>
              <w:top w:val="nil"/>
              <w:left w:val="nil"/>
              <w:bottom w:val="single" w:sz="6" w:space="0" w:color="auto"/>
              <w:right w:val="single" w:sz="6" w:space="0" w:color="auto"/>
            </w:tcBorders>
            <w:shd w:val="clear" w:color="auto" w:fill="365F91"/>
            <w:vAlign w:val="center"/>
            <w:hideMark/>
          </w:tcPr>
          <w:p w14:paraId="2C3CEEF1" w14:textId="77777777" w:rsidR="002C764F" w:rsidRPr="00A42FA0" w:rsidRDefault="002C764F" w:rsidP="00BB027B">
            <w:pPr>
              <w:pStyle w:val="paragraph"/>
              <w:spacing w:before="0" w:beforeAutospacing="0" w:after="0" w:afterAutospacing="0"/>
              <w:jc w:val="center"/>
              <w:textAlignment w:val="baseline"/>
              <w:rPr>
                <w:rFonts w:ascii="Arial" w:hAnsi="Arial" w:cs="Arial"/>
                <w:sz w:val="22"/>
                <w:szCs w:val="22"/>
              </w:rPr>
            </w:pPr>
            <w:r w:rsidRPr="00A42FA0">
              <w:rPr>
                <w:rStyle w:val="normaltextrun"/>
                <w:rFonts w:ascii="Arial" w:hAnsi="Arial" w:cs="Arial"/>
                <w:color w:val="FFFFFF"/>
                <w:sz w:val="22"/>
                <w:szCs w:val="22"/>
              </w:rPr>
              <w:t>Allowable Uses</w:t>
            </w:r>
            <w:r w:rsidRPr="00A42FA0">
              <w:rPr>
                <w:rStyle w:val="eop"/>
                <w:rFonts w:ascii="Arial" w:hAnsi="Arial" w:cs="Arial"/>
                <w:color w:val="FFFFFF"/>
                <w:sz w:val="22"/>
                <w:szCs w:val="22"/>
              </w:rPr>
              <w:t> </w:t>
            </w:r>
          </w:p>
        </w:tc>
      </w:tr>
      <w:tr w:rsidR="002C764F" w14:paraId="3AAF36B5" w14:textId="77777777" w:rsidTr="00BB027B">
        <w:trPr>
          <w:cantSplit/>
          <w:trHeight w:val="3480"/>
        </w:trPr>
        <w:tc>
          <w:tcPr>
            <w:tcW w:w="1715" w:type="dxa"/>
            <w:tcBorders>
              <w:top w:val="nil"/>
              <w:left w:val="single" w:sz="6" w:space="0" w:color="auto"/>
              <w:bottom w:val="single" w:sz="6" w:space="0" w:color="auto"/>
              <w:right w:val="single" w:sz="6" w:space="0" w:color="auto"/>
            </w:tcBorders>
            <w:shd w:val="clear" w:color="auto" w:fill="auto"/>
            <w:hideMark/>
          </w:tcPr>
          <w:p w14:paraId="0A2DA63A" w14:textId="4590DFB9" w:rsidR="002C764F" w:rsidRDefault="002C764F" w:rsidP="00BB027B">
            <w:pPr>
              <w:pStyle w:val="paragraph"/>
              <w:spacing w:before="0" w:beforeAutospacing="0" w:after="0" w:afterAutospacing="0"/>
              <w:textAlignment w:val="baseline"/>
              <w:rPr>
                <w:rStyle w:val="eop"/>
                <w:rFonts w:ascii="Arial" w:hAnsi="Arial" w:cs="Arial"/>
                <w:color w:val="365F91"/>
                <w:sz w:val="22"/>
                <w:szCs w:val="22"/>
              </w:rPr>
            </w:pPr>
            <w:r w:rsidRPr="00A42FA0">
              <w:rPr>
                <w:rStyle w:val="normaltextrun"/>
                <w:rFonts w:ascii="Arial" w:hAnsi="Arial" w:cs="Arial"/>
                <w:b/>
                <w:bCs/>
                <w:color w:val="365F91"/>
                <w:sz w:val="22"/>
                <w:szCs w:val="22"/>
              </w:rPr>
              <w:t>Administration and</w:t>
            </w:r>
            <w:r w:rsidRPr="00A42FA0">
              <w:rPr>
                <w:rStyle w:val="apple-converted-space"/>
                <w:rFonts w:ascii="Arial" w:hAnsi="Arial" w:cs="Arial"/>
                <w:b/>
                <w:bCs/>
                <w:color w:val="365F91"/>
                <w:sz w:val="22"/>
                <w:szCs w:val="22"/>
              </w:rPr>
              <w:t> </w:t>
            </w:r>
            <w:r w:rsidRPr="00A42FA0">
              <w:rPr>
                <w:rStyle w:val="normaltextrun"/>
                <w:rFonts w:ascii="Arial" w:hAnsi="Arial" w:cs="Arial"/>
                <w:b/>
                <w:bCs/>
                <w:color w:val="365F91"/>
                <w:sz w:val="22"/>
                <w:szCs w:val="22"/>
              </w:rPr>
              <w:t>Compliance Monitoring</w:t>
            </w:r>
            <w:r w:rsidRPr="00A42FA0">
              <w:rPr>
                <w:rStyle w:val="eop"/>
                <w:rFonts w:ascii="Arial" w:hAnsi="Arial" w:cs="Arial"/>
                <w:color w:val="365F91"/>
                <w:sz w:val="22"/>
                <w:szCs w:val="22"/>
              </w:rPr>
              <w:t> </w:t>
            </w:r>
          </w:p>
          <w:p w14:paraId="61E3A375" w14:textId="77777777" w:rsidR="00FE240E" w:rsidRPr="00A42FA0" w:rsidRDefault="00FE240E" w:rsidP="00BB027B">
            <w:pPr>
              <w:pStyle w:val="paragraph"/>
              <w:spacing w:before="0" w:beforeAutospacing="0" w:after="0" w:afterAutospacing="0"/>
              <w:textAlignment w:val="baseline"/>
              <w:rPr>
                <w:rFonts w:ascii="Arial" w:hAnsi="Arial" w:cs="Arial"/>
                <w:sz w:val="22"/>
                <w:szCs w:val="22"/>
              </w:rPr>
            </w:pPr>
          </w:p>
          <w:p w14:paraId="144EBFBD" w14:textId="7CDDD620" w:rsidR="002C764F" w:rsidRPr="00A42FA0" w:rsidRDefault="00FE240E" w:rsidP="00BB027B">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color w:val="365F91"/>
                <w:sz w:val="22"/>
                <w:szCs w:val="22"/>
              </w:rPr>
              <w:t>Annual Limit</w:t>
            </w:r>
          </w:p>
        </w:tc>
        <w:tc>
          <w:tcPr>
            <w:tcW w:w="2072" w:type="dxa"/>
            <w:tcBorders>
              <w:top w:val="nil"/>
              <w:left w:val="nil"/>
              <w:bottom w:val="single" w:sz="6" w:space="0" w:color="auto"/>
              <w:right w:val="single" w:sz="6" w:space="0" w:color="auto"/>
            </w:tcBorders>
            <w:shd w:val="clear" w:color="auto" w:fill="auto"/>
            <w:noWrap/>
            <w:hideMark/>
          </w:tcPr>
          <w:p w14:paraId="2C1E5FC5" w14:textId="74F4D97C" w:rsidR="002C764F" w:rsidRPr="00A42FA0" w:rsidRDefault="002C764F" w:rsidP="00BB027B">
            <w:pPr>
              <w:pStyle w:val="paragraph"/>
              <w:spacing w:before="0" w:beforeAutospacing="0" w:after="0" w:afterAutospacing="0"/>
              <w:ind w:left="-1" w:hanging="1"/>
              <w:textAlignment w:val="baseline"/>
              <w:rPr>
                <w:rFonts w:ascii="Arial" w:hAnsi="Arial" w:cs="Arial"/>
                <w:sz w:val="22"/>
                <w:szCs w:val="22"/>
              </w:rPr>
            </w:pPr>
            <w:r w:rsidRPr="00A42FA0">
              <w:rPr>
                <w:rStyle w:val="normaltextrun"/>
                <w:rFonts w:ascii="Arial" w:hAnsi="Arial" w:cs="Arial"/>
                <w:b/>
                <w:bCs/>
                <w:color w:val="E36C0A"/>
                <w:sz w:val="22"/>
                <w:szCs w:val="22"/>
              </w:rPr>
              <w:t>$</w:t>
            </w:r>
            <w:r w:rsidR="00D03B01" w:rsidRPr="00D03B01">
              <w:rPr>
                <w:rStyle w:val="normaltextrun"/>
                <w:rFonts w:ascii="Arial" w:hAnsi="Arial" w:cs="Arial"/>
                <w:b/>
                <w:bCs/>
                <w:color w:val="E36C0A"/>
                <w:sz w:val="22"/>
                <w:szCs w:val="22"/>
              </w:rPr>
              <w:t>3</w:t>
            </w:r>
            <w:r w:rsidR="00C65DFA">
              <w:rPr>
                <w:rStyle w:val="normaltextrun"/>
                <w:rFonts w:ascii="Arial" w:hAnsi="Arial" w:cs="Arial"/>
                <w:b/>
                <w:bCs/>
                <w:color w:val="E36C0A"/>
                <w:sz w:val="22"/>
                <w:szCs w:val="22"/>
              </w:rPr>
              <w:t>21</w:t>
            </w:r>
            <w:r w:rsidR="00D03B01" w:rsidRPr="00D03B01">
              <w:rPr>
                <w:rStyle w:val="normaltextrun"/>
                <w:rFonts w:ascii="Arial" w:hAnsi="Arial" w:cs="Arial"/>
                <w:b/>
                <w:bCs/>
                <w:color w:val="E36C0A"/>
                <w:sz w:val="22"/>
                <w:szCs w:val="22"/>
              </w:rPr>
              <w:t>,</w:t>
            </w:r>
            <w:r w:rsidR="00C65DFA">
              <w:rPr>
                <w:rStyle w:val="normaltextrun"/>
                <w:rFonts w:ascii="Arial" w:hAnsi="Arial" w:cs="Arial"/>
                <w:b/>
                <w:bCs/>
                <w:color w:val="E36C0A"/>
                <w:sz w:val="22"/>
                <w:szCs w:val="22"/>
              </w:rPr>
              <w:t>66</w:t>
            </w:r>
            <w:r w:rsidR="00D03B01" w:rsidRPr="00D03B01">
              <w:rPr>
                <w:rStyle w:val="normaltextrun"/>
                <w:rFonts w:ascii="Arial" w:hAnsi="Arial" w:cs="Arial"/>
                <w:b/>
                <w:bCs/>
                <w:color w:val="E36C0A"/>
                <w:sz w:val="22"/>
                <w:szCs w:val="22"/>
              </w:rPr>
              <w:t>8</w:t>
            </w:r>
            <w:r w:rsidRPr="00D03B01">
              <w:rPr>
                <w:rStyle w:val="apple-converted-space"/>
                <w:rFonts w:ascii="Arial" w:hAnsi="Arial" w:cs="Arial"/>
                <w:b/>
                <w:bCs/>
                <w:color w:val="E36C0A"/>
                <w:sz w:val="22"/>
                <w:szCs w:val="22"/>
              </w:rPr>
              <w:t> </w:t>
            </w:r>
            <w:r w:rsidRPr="00D03B01">
              <w:rPr>
                <w:rStyle w:val="normaltextrun"/>
                <w:rFonts w:ascii="Arial" w:hAnsi="Arial" w:cs="Arial"/>
                <w:b/>
                <w:bCs/>
                <w:color w:val="E36C0A"/>
                <w:sz w:val="22"/>
                <w:szCs w:val="22"/>
              </w:rPr>
              <w:t>maximum</w:t>
            </w:r>
            <w:r w:rsidRPr="00D03B01">
              <w:rPr>
                <w:rStyle w:val="apple-converted-space"/>
                <w:rFonts w:ascii="Arial" w:hAnsi="Arial" w:cs="Arial"/>
                <w:color w:val="E36C0A"/>
                <w:sz w:val="22"/>
                <w:szCs w:val="22"/>
              </w:rPr>
              <w:t> </w:t>
            </w:r>
            <w:r w:rsidRPr="00D03B01">
              <w:rPr>
                <w:rStyle w:val="normaltextrun"/>
                <w:rFonts w:ascii="Arial" w:hAnsi="Arial" w:cs="Arial"/>
                <w:sz w:val="22"/>
                <w:szCs w:val="22"/>
              </w:rPr>
              <w:t>for</w:t>
            </w:r>
            <w:r w:rsidRPr="00D03B01">
              <w:rPr>
                <w:rStyle w:val="apple-converted-space"/>
                <w:rFonts w:ascii="Arial" w:hAnsi="Arial" w:cs="Arial"/>
                <w:sz w:val="22"/>
                <w:szCs w:val="22"/>
              </w:rPr>
              <w:t> FY 20</w:t>
            </w:r>
            <w:r w:rsidR="00C3433A">
              <w:rPr>
                <w:rStyle w:val="apple-converted-space"/>
                <w:rFonts w:ascii="Arial" w:hAnsi="Arial" w:cs="Arial"/>
                <w:sz w:val="22"/>
                <w:szCs w:val="22"/>
              </w:rPr>
              <w:t>22-23</w:t>
            </w:r>
            <w:r w:rsidRPr="00D03B01">
              <w:rPr>
                <w:rStyle w:val="normaltextrun"/>
                <w:rFonts w:ascii="Arial" w:hAnsi="Arial" w:cs="Arial"/>
                <w:sz w:val="22"/>
                <w:szCs w:val="22"/>
              </w:rPr>
              <w:t xml:space="preserve"> (limit</w:t>
            </w:r>
            <w:r w:rsidRPr="00A42FA0">
              <w:rPr>
                <w:rStyle w:val="normaltextrun"/>
                <w:rFonts w:ascii="Arial" w:hAnsi="Arial" w:cs="Arial"/>
                <w:sz w:val="22"/>
                <w:szCs w:val="22"/>
              </w:rPr>
              <w:t xml:space="preserve"> varies each year)</w:t>
            </w:r>
            <w:r w:rsidRPr="00A42FA0">
              <w:rPr>
                <w:rStyle w:val="eop"/>
                <w:rFonts w:ascii="Arial" w:hAnsi="Arial" w:cs="Arial"/>
                <w:sz w:val="22"/>
                <w:szCs w:val="22"/>
              </w:rPr>
              <w:t> </w:t>
            </w:r>
          </w:p>
        </w:tc>
        <w:tc>
          <w:tcPr>
            <w:tcW w:w="6660" w:type="dxa"/>
            <w:tcBorders>
              <w:top w:val="nil"/>
              <w:left w:val="nil"/>
              <w:bottom w:val="single" w:sz="6" w:space="0" w:color="auto"/>
              <w:right w:val="single" w:sz="6" w:space="0" w:color="auto"/>
            </w:tcBorders>
            <w:shd w:val="clear" w:color="auto" w:fill="auto"/>
            <w:hideMark/>
          </w:tcPr>
          <w:p w14:paraId="244CE58E" w14:textId="77777777" w:rsidR="002C764F" w:rsidRPr="00A42FA0" w:rsidRDefault="002C764F" w:rsidP="00BB027B">
            <w:pPr>
              <w:pStyle w:val="paragraph"/>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Administrative activities such as:</w:t>
            </w:r>
            <w:r w:rsidRPr="00A42FA0">
              <w:rPr>
                <w:rStyle w:val="eop"/>
                <w:rFonts w:ascii="Arial" w:hAnsi="Arial" w:cs="Arial"/>
                <w:sz w:val="22"/>
                <w:szCs w:val="22"/>
              </w:rPr>
              <w:t> </w:t>
            </w:r>
          </w:p>
          <w:p w14:paraId="350F3C06" w14:textId="77777777" w:rsidR="002C764F" w:rsidRPr="00A42FA0" w:rsidRDefault="002C764F" w:rsidP="002C764F">
            <w:pPr>
              <w:pStyle w:val="paragraph"/>
              <w:numPr>
                <w:ilvl w:val="0"/>
                <w:numId w:val="23"/>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Professional services (consultant fees, auditor fees, etc.)</w:t>
            </w:r>
            <w:r w:rsidRPr="00A42FA0">
              <w:rPr>
                <w:rStyle w:val="eop"/>
                <w:rFonts w:ascii="Arial" w:hAnsi="Arial" w:cs="Arial"/>
                <w:sz w:val="22"/>
                <w:szCs w:val="22"/>
              </w:rPr>
              <w:t> </w:t>
            </w:r>
          </w:p>
          <w:p w14:paraId="247E77F1" w14:textId="77777777" w:rsidR="002C764F" w:rsidRPr="00A42FA0" w:rsidRDefault="002C764F" w:rsidP="002C764F">
            <w:pPr>
              <w:pStyle w:val="paragraph"/>
              <w:numPr>
                <w:ilvl w:val="0"/>
                <w:numId w:val="23"/>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Staff salaries, benefits, and overhead for time spent on Housing Successor administration</w:t>
            </w:r>
            <w:r w:rsidRPr="00A42FA0">
              <w:rPr>
                <w:rStyle w:val="eop"/>
                <w:rFonts w:ascii="Arial" w:hAnsi="Arial" w:cs="Arial"/>
                <w:sz w:val="22"/>
                <w:szCs w:val="22"/>
              </w:rPr>
              <w:t> </w:t>
            </w:r>
          </w:p>
          <w:p w14:paraId="22CC1026" w14:textId="77777777" w:rsidR="002C764F" w:rsidRPr="00A42FA0" w:rsidRDefault="002C764F" w:rsidP="002C764F">
            <w:pPr>
              <w:pStyle w:val="paragraph"/>
              <w:numPr>
                <w:ilvl w:val="0"/>
                <w:numId w:val="23"/>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Compliance monitoring to ensure compliance with affordable housing and loan</w:t>
            </w:r>
            <w:r w:rsidRPr="00A42FA0">
              <w:rPr>
                <w:rStyle w:val="apple-converted-space"/>
                <w:rFonts w:ascii="Arial" w:hAnsi="Arial" w:cs="Arial"/>
                <w:sz w:val="22"/>
                <w:szCs w:val="22"/>
              </w:rPr>
              <w:t> </w:t>
            </w:r>
            <w:r w:rsidRPr="00A42FA0">
              <w:rPr>
                <w:rStyle w:val="normaltextrun"/>
                <w:rFonts w:ascii="Arial" w:hAnsi="Arial" w:cs="Arial"/>
                <w:sz w:val="22"/>
                <w:szCs w:val="22"/>
              </w:rPr>
              <w:t>agreements</w:t>
            </w:r>
            <w:r w:rsidRPr="00A42FA0">
              <w:rPr>
                <w:rStyle w:val="eop"/>
                <w:rFonts w:ascii="Arial" w:hAnsi="Arial" w:cs="Arial"/>
                <w:sz w:val="22"/>
                <w:szCs w:val="22"/>
              </w:rPr>
              <w:t> </w:t>
            </w:r>
          </w:p>
          <w:p w14:paraId="0994531B" w14:textId="77777777" w:rsidR="002C764F" w:rsidRPr="00A42FA0" w:rsidRDefault="002C764F" w:rsidP="002C764F">
            <w:pPr>
              <w:pStyle w:val="paragraph"/>
              <w:numPr>
                <w:ilvl w:val="0"/>
                <w:numId w:val="23"/>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Property maintenance at Housing Successor-owned properties</w:t>
            </w:r>
            <w:r w:rsidRPr="00A42FA0">
              <w:rPr>
                <w:rStyle w:val="eop"/>
                <w:rFonts w:ascii="Arial" w:hAnsi="Arial" w:cs="Arial"/>
                <w:sz w:val="22"/>
                <w:szCs w:val="22"/>
              </w:rPr>
              <w:t> </w:t>
            </w:r>
          </w:p>
          <w:p w14:paraId="1A44E95C" w14:textId="77777777" w:rsidR="002C764F" w:rsidRPr="00A42FA0" w:rsidRDefault="002C764F" w:rsidP="00BB027B">
            <w:pPr>
              <w:pStyle w:val="paragraph"/>
              <w:spacing w:before="0" w:beforeAutospacing="0" w:after="0" w:afterAutospacing="0"/>
              <w:ind w:left="165"/>
              <w:jc w:val="both"/>
              <w:textAlignment w:val="baseline"/>
              <w:rPr>
                <w:rFonts w:ascii="Arial" w:hAnsi="Arial" w:cs="Arial"/>
                <w:sz w:val="22"/>
                <w:szCs w:val="22"/>
              </w:rPr>
            </w:pPr>
            <w:r w:rsidRPr="00A42FA0">
              <w:rPr>
                <w:rStyle w:val="eop"/>
                <w:rFonts w:ascii="Arial" w:hAnsi="Arial" w:cs="Arial"/>
                <w:sz w:val="22"/>
                <w:szCs w:val="22"/>
              </w:rPr>
              <w:t> </w:t>
            </w:r>
          </w:p>
          <w:p w14:paraId="60B92AE3" w14:textId="77777777" w:rsidR="002C764F" w:rsidRPr="00A42FA0" w:rsidRDefault="002C764F" w:rsidP="00BB027B">
            <w:pPr>
              <w:pStyle w:val="paragraph"/>
              <w:spacing w:before="0" w:beforeAutospacing="0" w:after="0" w:afterAutospacing="0"/>
              <w:ind w:left="165"/>
              <w:jc w:val="both"/>
              <w:textAlignment w:val="baseline"/>
              <w:rPr>
                <w:rFonts w:ascii="Arial" w:hAnsi="Arial" w:cs="Arial"/>
                <w:sz w:val="22"/>
                <w:szCs w:val="22"/>
              </w:rPr>
            </w:pPr>
            <w:r w:rsidRPr="00A42FA0">
              <w:rPr>
                <w:rStyle w:val="normaltextrun"/>
                <w:rFonts w:ascii="Arial" w:hAnsi="Arial" w:cs="Arial"/>
                <w:sz w:val="22"/>
                <w:szCs w:val="22"/>
              </w:rPr>
              <w:t>Capped at $200,000 adjusted annually for inflation or 5% of the statutory value of real property owned by the housing successor and the value of loans and grants receivable from the HAT (“Portfolio”), whichever is greater.  </w:t>
            </w:r>
            <w:r w:rsidRPr="00A42FA0">
              <w:rPr>
                <w:rStyle w:val="eop"/>
                <w:rFonts w:ascii="Arial" w:hAnsi="Arial" w:cs="Arial"/>
                <w:sz w:val="22"/>
                <w:szCs w:val="22"/>
              </w:rPr>
              <w:t> </w:t>
            </w:r>
          </w:p>
        </w:tc>
      </w:tr>
      <w:tr w:rsidR="002C764F" w14:paraId="5D066B6B" w14:textId="77777777" w:rsidTr="00BB027B">
        <w:trPr>
          <w:trHeight w:val="4035"/>
        </w:trPr>
        <w:tc>
          <w:tcPr>
            <w:tcW w:w="1715" w:type="dxa"/>
            <w:tcBorders>
              <w:top w:val="nil"/>
              <w:left w:val="single" w:sz="6" w:space="0" w:color="auto"/>
              <w:bottom w:val="single" w:sz="6" w:space="0" w:color="auto"/>
              <w:right w:val="single" w:sz="6" w:space="0" w:color="auto"/>
            </w:tcBorders>
            <w:shd w:val="clear" w:color="auto" w:fill="auto"/>
            <w:hideMark/>
          </w:tcPr>
          <w:p w14:paraId="6ED29B56" w14:textId="77777777" w:rsidR="002C764F" w:rsidRPr="00A42FA0" w:rsidRDefault="002C764F"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b/>
                <w:bCs/>
                <w:color w:val="365F91"/>
                <w:sz w:val="22"/>
                <w:szCs w:val="22"/>
              </w:rPr>
              <w:t>Homeless Prevention and </w:t>
            </w:r>
            <w:r w:rsidRPr="00A42FA0">
              <w:rPr>
                <w:rStyle w:val="eop"/>
                <w:rFonts w:ascii="Arial" w:hAnsi="Arial" w:cs="Arial"/>
                <w:color w:val="365F91"/>
                <w:sz w:val="22"/>
                <w:szCs w:val="22"/>
              </w:rPr>
              <w:t> </w:t>
            </w:r>
          </w:p>
          <w:p w14:paraId="017C42BB" w14:textId="77777777" w:rsidR="00FE240E" w:rsidRDefault="002C764F" w:rsidP="00BB027B">
            <w:pPr>
              <w:pStyle w:val="paragraph"/>
              <w:spacing w:before="0" w:beforeAutospacing="0" w:after="0" w:afterAutospacing="0"/>
              <w:textAlignment w:val="baseline"/>
              <w:rPr>
                <w:rStyle w:val="normaltextrun"/>
                <w:rFonts w:ascii="Arial" w:hAnsi="Arial" w:cs="Arial"/>
                <w:color w:val="365F91"/>
                <w:sz w:val="22"/>
                <w:szCs w:val="22"/>
              </w:rPr>
            </w:pPr>
            <w:r w:rsidRPr="00A42FA0">
              <w:rPr>
                <w:rStyle w:val="normaltextrun"/>
                <w:rFonts w:ascii="Arial" w:hAnsi="Arial" w:cs="Arial"/>
                <w:b/>
                <w:bCs/>
                <w:color w:val="365F91"/>
                <w:sz w:val="22"/>
                <w:szCs w:val="22"/>
              </w:rPr>
              <w:t>Rapid Rehousing Solutions</w:t>
            </w:r>
            <w:r w:rsidRPr="00A42FA0">
              <w:rPr>
                <w:rStyle w:val="normaltextrun"/>
                <w:rFonts w:ascii="Arial" w:hAnsi="Arial" w:cs="Arial"/>
                <w:color w:val="365F91"/>
                <w:sz w:val="22"/>
                <w:szCs w:val="22"/>
              </w:rPr>
              <w:t> </w:t>
            </w:r>
          </w:p>
          <w:p w14:paraId="209E2D6D" w14:textId="7502A4E1" w:rsidR="002C764F" w:rsidRPr="00A42FA0" w:rsidRDefault="002C764F"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color w:val="365F91"/>
                <w:sz w:val="22"/>
                <w:szCs w:val="22"/>
              </w:rPr>
              <w:t> </w:t>
            </w:r>
          </w:p>
          <w:p w14:paraId="6F4179C0" w14:textId="2A3EC824" w:rsidR="002C764F" w:rsidRPr="00A42FA0" w:rsidRDefault="00FE240E" w:rsidP="00BB027B">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color w:val="365F91"/>
                <w:sz w:val="22"/>
                <w:szCs w:val="22"/>
              </w:rPr>
              <w:t>Annual Limit</w:t>
            </w:r>
            <w:r w:rsidR="002C764F" w:rsidRPr="00A42FA0">
              <w:rPr>
                <w:rStyle w:val="eop"/>
                <w:rFonts w:ascii="Arial" w:hAnsi="Arial" w:cs="Arial"/>
                <w:color w:val="365F91"/>
                <w:sz w:val="22"/>
                <w:szCs w:val="22"/>
              </w:rPr>
              <w:t> </w:t>
            </w:r>
          </w:p>
        </w:tc>
        <w:tc>
          <w:tcPr>
            <w:tcW w:w="2072" w:type="dxa"/>
            <w:tcBorders>
              <w:top w:val="nil"/>
              <w:left w:val="nil"/>
              <w:bottom w:val="single" w:sz="6" w:space="0" w:color="auto"/>
              <w:right w:val="single" w:sz="6" w:space="0" w:color="auto"/>
            </w:tcBorders>
            <w:shd w:val="clear" w:color="auto" w:fill="auto"/>
            <w:noWrap/>
            <w:hideMark/>
          </w:tcPr>
          <w:p w14:paraId="3DE89BB5" w14:textId="77777777" w:rsidR="002C764F" w:rsidRPr="00A42FA0" w:rsidRDefault="002C764F" w:rsidP="00BB027B">
            <w:pPr>
              <w:pStyle w:val="paragraph"/>
              <w:spacing w:before="0" w:beforeAutospacing="0" w:after="0" w:afterAutospacing="0"/>
              <w:ind w:left="-1" w:hanging="1"/>
              <w:textAlignment w:val="baseline"/>
              <w:rPr>
                <w:rFonts w:ascii="Arial" w:hAnsi="Arial" w:cs="Arial"/>
                <w:sz w:val="22"/>
                <w:szCs w:val="22"/>
              </w:rPr>
            </w:pPr>
            <w:r w:rsidRPr="00A42FA0">
              <w:rPr>
                <w:rStyle w:val="normaltextrun"/>
                <w:rFonts w:ascii="Arial" w:hAnsi="Arial" w:cs="Arial"/>
                <w:b/>
                <w:bCs/>
                <w:color w:val="E36C0A"/>
                <w:sz w:val="22"/>
                <w:szCs w:val="22"/>
              </w:rPr>
              <w:t>$250,000 maximum</w:t>
            </w:r>
            <w:r w:rsidRPr="00A42FA0">
              <w:rPr>
                <w:rStyle w:val="apple-converted-space"/>
                <w:rFonts w:ascii="Arial" w:hAnsi="Arial" w:cs="Arial"/>
                <w:color w:val="E36C0A"/>
                <w:sz w:val="22"/>
                <w:szCs w:val="22"/>
              </w:rPr>
              <w:t> </w:t>
            </w:r>
            <w:r w:rsidRPr="00A42FA0">
              <w:rPr>
                <w:rStyle w:val="normaltextrun"/>
                <w:rFonts w:ascii="Arial" w:hAnsi="Arial" w:cs="Arial"/>
                <w:sz w:val="22"/>
                <w:szCs w:val="22"/>
              </w:rPr>
              <w:t>per fiscal year</w:t>
            </w:r>
            <w:r w:rsidRPr="00A42FA0">
              <w:rPr>
                <w:rStyle w:val="eop"/>
                <w:rFonts w:ascii="Arial" w:hAnsi="Arial" w:cs="Arial"/>
                <w:sz w:val="22"/>
                <w:szCs w:val="22"/>
              </w:rPr>
              <w:t> </w:t>
            </w:r>
          </w:p>
        </w:tc>
        <w:tc>
          <w:tcPr>
            <w:tcW w:w="6660" w:type="dxa"/>
            <w:tcBorders>
              <w:top w:val="nil"/>
              <w:left w:val="nil"/>
              <w:bottom w:val="single" w:sz="6" w:space="0" w:color="auto"/>
              <w:right w:val="single" w:sz="6" w:space="0" w:color="auto"/>
            </w:tcBorders>
            <w:shd w:val="clear" w:color="auto" w:fill="auto"/>
            <w:hideMark/>
          </w:tcPr>
          <w:p w14:paraId="1FAA4A65"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Services for</w:t>
            </w:r>
            <w:r w:rsidRPr="00A42FA0">
              <w:rPr>
                <w:rStyle w:val="apple-converted-space"/>
                <w:rFonts w:ascii="Arial" w:hAnsi="Arial" w:cs="Arial"/>
                <w:sz w:val="22"/>
                <w:szCs w:val="22"/>
              </w:rPr>
              <w:t> </w:t>
            </w:r>
            <w:r w:rsidRPr="00A42FA0">
              <w:rPr>
                <w:rStyle w:val="normaltextrun"/>
                <w:rFonts w:ascii="Arial" w:hAnsi="Arial" w:cs="Arial"/>
                <w:sz w:val="22"/>
                <w:szCs w:val="22"/>
              </w:rPr>
              <w:t>individuals and families who are homeless or would be homeless but for this assistance, including:</w:t>
            </w:r>
            <w:r w:rsidRPr="00A42FA0">
              <w:rPr>
                <w:rStyle w:val="eop"/>
                <w:rFonts w:ascii="Arial" w:hAnsi="Arial" w:cs="Arial"/>
                <w:sz w:val="22"/>
                <w:szCs w:val="22"/>
              </w:rPr>
              <w:t> </w:t>
            </w:r>
          </w:p>
          <w:p w14:paraId="62F4BDC9"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Contributions toward the construction of local or regional homeless shelters</w:t>
            </w:r>
            <w:r w:rsidRPr="00A42FA0">
              <w:rPr>
                <w:rStyle w:val="eop"/>
                <w:rFonts w:ascii="Arial" w:hAnsi="Arial" w:cs="Arial"/>
                <w:sz w:val="22"/>
                <w:szCs w:val="22"/>
              </w:rPr>
              <w:t> </w:t>
            </w:r>
          </w:p>
          <w:p w14:paraId="6221B197"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Housing relocation and stabilization services including housing search, mediation, or outreach to property</w:t>
            </w:r>
            <w:r w:rsidRPr="00A42FA0">
              <w:rPr>
                <w:rStyle w:val="apple-converted-space"/>
                <w:rFonts w:ascii="Arial" w:hAnsi="Arial" w:cs="Arial"/>
                <w:sz w:val="22"/>
                <w:szCs w:val="22"/>
              </w:rPr>
              <w:t> </w:t>
            </w:r>
            <w:r w:rsidRPr="00A42FA0">
              <w:rPr>
                <w:rStyle w:val="normaltextrun"/>
                <w:rFonts w:ascii="Arial" w:hAnsi="Arial" w:cs="Arial"/>
                <w:sz w:val="22"/>
                <w:szCs w:val="22"/>
              </w:rPr>
              <w:t>owners</w:t>
            </w:r>
            <w:r w:rsidRPr="00A42FA0">
              <w:rPr>
                <w:rStyle w:val="eop"/>
                <w:rFonts w:ascii="Arial" w:hAnsi="Arial" w:cs="Arial"/>
                <w:sz w:val="22"/>
                <w:szCs w:val="22"/>
              </w:rPr>
              <w:t> </w:t>
            </w:r>
          </w:p>
          <w:p w14:paraId="41A6EB6F"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Short-term or medium-term rental assistance</w:t>
            </w:r>
            <w:r w:rsidRPr="00A42FA0">
              <w:rPr>
                <w:rStyle w:val="eop"/>
                <w:rFonts w:ascii="Arial" w:hAnsi="Arial" w:cs="Arial"/>
                <w:sz w:val="22"/>
                <w:szCs w:val="22"/>
              </w:rPr>
              <w:t> </w:t>
            </w:r>
          </w:p>
          <w:p w14:paraId="3BA2EBA6"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Security or utility deposits</w:t>
            </w:r>
            <w:r w:rsidRPr="00A42FA0">
              <w:rPr>
                <w:rStyle w:val="eop"/>
                <w:rFonts w:ascii="Arial" w:hAnsi="Arial" w:cs="Arial"/>
                <w:sz w:val="22"/>
                <w:szCs w:val="22"/>
              </w:rPr>
              <w:t> </w:t>
            </w:r>
          </w:p>
          <w:p w14:paraId="74370F7A"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Utility payments</w:t>
            </w:r>
            <w:r w:rsidRPr="00A42FA0">
              <w:rPr>
                <w:rStyle w:val="eop"/>
                <w:rFonts w:ascii="Arial" w:hAnsi="Arial" w:cs="Arial"/>
                <w:sz w:val="22"/>
                <w:szCs w:val="22"/>
              </w:rPr>
              <w:t> </w:t>
            </w:r>
          </w:p>
          <w:p w14:paraId="7F59A2CB"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Moving cost assistance</w:t>
            </w:r>
            <w:r w:rsidRPr="00A42FA0">
              <w:rPr>
                <w:rStyle w:val="eop"/>
                <w:rFonts w:ascii="Arial" w:hAnsi="Arial" w:cs="Arial"/>
                <w:sz w:val="22"/>
                <w:szCs w:val="22"/>
              </w:rPr>
              <w:t> </w:t>
            </w:r>
          </w:p>
          <w:p w14:paraId="2CC7401B"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Credit repair</w:t>
            </w:r>
            <w:r w:rsidRPr="00A42FA0">
              <w:rPr>
                <w:rStyle w:val="eop"/>
                <w:rFonts w:ascii="Arial" w:hAnsi="Arial" w:cs="Arial"/>
                <w:sz w:val="22"/>
                <w:szCs w:val="22"/>
              </w:rPr>
              <w:t> </w:t>
            </w:r>
          </w:p>
          <w:p w14:paraId="72F3171C"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Case management</w:t>
            </w:r>
            <w:r w:rsidRPr="00A42FA0">
              <w:rPr>
                <w:rStyle w:val="eop"/>
                <w:rFonts w:ascii="Arial" w:hAnsi="Arial" w:cs="Arial"/>
                <w:sz w:val="22"/>
                <w:szCs w:val="22"/>
              </w:rPr>
              <w:t> </w:t>
            </w:r>
          </w:p>
          <w:p w14:paraId="72CA7C10" w14:textId="77777777" w:rsidR="002C764F" w:rsidRPr="00A42FA0" w:rsidRDefault="002C764F" w:rsidP="002C764F">
            <w:pPr>
              <w:pStyle w:val="paragraph"/>
              <w:numPr>
                <w:ilvl w:val="0"/>
                <w:numId w:val="24"/>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Other appropriate activities for homelessness prevention and rapid rehousing of persons who have become homeless.</w:t>
            </w:r>
            <w:r w:rsidRPr="00A42FA0">
              <w:rPr>
                <w:rStyle w:val="eop"/>
                <w:rFonts w:ascii="Arial" w:hAnsi="Arial" w:cs="Arial"/>
                <w:sz w:val="22"/>
                <w:szCs w:val="22"/>
              </w:rPr>
              <w:t> </w:t>
            </w:r>
          </w:p>
        </w:tc>
      </w:tr>
      <w:tr w:rsidR="002C764F" w14:paraId="1E90BF2B" w14:textId="77777777" w:rsidTr="00BB027B">
        <w:tc>
          <w:tcPr>
            <w:tcW w:w="1715" w:type="dxa"/>
            <w:vMerge w:val="restart"/>
            <w:tcBorders>
              <w:top w:val="nil"/>
              <w:left w:val="single" w:sz="6" w:space="0" w:color="auto"/>
              <w:bottom w:val="single" w:sz="6" w:space="0" w:color="auto"/>
              <w:right w:val="single" w:sz="6" w:space="0" w:color="auto"/>
            </w:tcBorders>
            <w:shd w:val="clear" w:color="auto" w:fill="auto"/>
            <w:hideMark/>
          </w:tcPr>
          <w:p w14:paraId="5A53E094" w14:textId="77777777" w:rsidR="002C764F" w:rsidRPr="00A42FA0" w:rsidRDefault="002C764F" w:rsidP="00BB027B">
            <w:pPr>
              <w:pStyle w:val="paragraph"/>
              <w:spacing w:before="0" w:beforeAutospacing="0" w:after="0" w:afterAutospacing="0"/>
              <w:textAlignment w:val="baseline"/>
              <w:rPr>
                <w:rFonts w:ascii="Arial" w:hAnsi="Arial" w:cs="Arial"/>
                <w:sz w:val="22"/>
                <w:szCs w:val="22"/>
              </w:rPr>
            </w:pPr>
            <w:r w:rsidRPr="00A42FA0">
              <w:rPr>
                <w:rStyle w:val="normaltextrun"/>
                <w:rFonts w:ascii="Arial" w:hAnsi="Arial" w:cs="Arial"/>
                <w:b/>
                <w:bCs/>
                <w:color w:val="365F91"/>
                <w:sz w:val="22"/>
                <w:szCs w:val="22"/>
              </w:rPr>
              <w:t>Affordable Housing Development</w:t>
            </w:r>
            <w:r w:rsidRPr="00A42FA0">
              <w:rPr>
                <w:rStyle w:val="eop"/>
                <w:rFonts w:ascii="Arial" w:hAnsi="Arial" w:cs="Arial"/>
                <w:color w:val="365F91"/>
                <w:sz w:val="22"/>
                <w:szCs w:val="22"/>
              </w:rPr>
              <w:t> </w:t>
            </w:r>
          </w:p>
          <w:p w14:paraId="5EDB7F81" w14:textId="77777777" w:rsidR="002C764F" w:rsidRPr="00A42FA0" w:rsidRDefault="002C764F"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color w:val="365F91"/>
                <w:sz w:val="22"/>
                <w:szCs w:val="22"/>
              </w:rPr>
              <w:t> </w:t>
            </w:r>
          </w:p>
        </w:tc>
        <w:tc>
          <w:tcPr>
            <w:tcW w:w="2072" w:type="dxa"/>
            <w:tcBorders>
              <w:top w:val="nil"/>
              <w:left w:val="nil"/>
              <w:bottom w:val="single" w:sz="6" w:space="0" w:color="auto"/>
              <w:right w:val="single" w:sz="6" w:space="0" w:color="auto"/>
            </w:tcBorders>
            <w:shd w:val="clear" w:color="auto" w:fill="auto"/>
            <w:noWrap/>
            <w:hideMark/>
          </w:tcPr>
          <w:p w14:paraId="25B76DBA" w14:textId="77777777" w:rsidR="002C764F" w:rsidRPr="00A42FA0" w:rsidRDefault="002C764F" w:rsidP="00BB027B">
            <w:pPr>
              <w:pStyle w:val="paragraph"/>
              <w:spacing w:before="0" w:beforeAutospacing="0" w:after="0" w:afterAutospacing="0"/>
              <w:ind w:left="-1" w:hanging="1"/>
              <w:textAlignment w:val="baseline"/>
              <w:rPr>
                <w:rFonts w:ascii="Arial" w:hAnsi="Arial" w:cs="Arial"/>
                <w:sz w:val="22"/>
                <w:szCs w:val="22"/>
              </w:rPr>
            </w:pPr>
            <w:r w:rsidRPr="00A42FA0">
              <w:rPr>
                <w:rStyle w:val="normaltextrun"/>
                <w:rFonts w:ascii="Arial" w:hAnsi="Arial" w:cs="Arial"/>
                <w:sz w:val="22"/>
                <w:szCs w:val="22"/>
              </w:rPr>
              <w:t>No spending limit, but must comply with income and age</w:t>
            </w:r>
            <w:r w:rsidRPr="00A42FA0">
              <w:rPr>
                <w:rStyle w:val="apple-converted-space"/>
                <w:rFonts w:ascii="Arial" w:hAnsi="Arial" w:cs="Arial"/>
                <w:sz w:val="22"/>
                <w:szCs w:val="22"/>
              </w:rPr>
              <w:t> </w:t>
            </w:r>
            <w:r w:rsidRPr="00A42FA0">
              <w:rPr>
                <w:rStyle w:val="normaltextrun"/>
                <w:rFonts w:ascii="Arial" w:hAnsi="Arial" w:cs="Arial"/>
                <w:sz w:val="22"/>
                <w:szCs w:val="22"/>
              </w:rPr>
              <w:t>targets </w:t>
            </w:r>
            <w:r w:rsidRPr="00A42FA0">
              <w:rPr>
                <w:rStyle w:val="eop"/>
                <w:rFonts w:ascii="Arial" w:hAnsi="Arial" w:cs="Arial"/>
                <w:sz w:val="22"/>
                <w:szCs w:val="22"/>
              </w:rPr>
              <w:t> </w:t>
            </w:r>
          </w:p>
        </w:tc>
        <w:tc>
          <w:tcPr>
            <w:tcW w:w="6660" w:type="dxa"/>
            <w:tcBorders>
              <w:top w:val="nil"/>
              <w:left w:val="nil"/>
              <w:bottom w:val="single" w:sz="6" w:space="0" w:color="auto"/>
              <w:right w:val="single" w:sz="6" w:space="0" w:color="auto"/>
            </w:tcBorders>
            <w:shd w:val="clear" w:color="auto" w:fill="auto"/>
            <w:hideMark/>
          </w:tcPr>
          <w:p w14:paraId="08F947B3" w14:textId="77777777" w:rsidR="002C764F" w:rsidRPr="00A42FA0" w:rsidRDefault="002C764F" w:rsidP="00BB027B">
            <w:pPr>
              <w:pStyle w:val="paragraph"/>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“Development” includes:</w:t>
            </w:r>
            <w:r w:rsidRPr="00A42FA0">
              <w:rPr>
                <w:rStyle w:val="eop"/>
                <w:rFonts w:ascii="Arial" w:hAnsi="Arial" w:cs="Arial"/>
                <w:sz w:val="22"/>
                <w:szCs w:val="22"/>
              </w:rPr>
              <w:t> </w:t>
            </w:r>
          </w:p>
          <w:p w14:paraId="5E404A4F" w14:textId="77777777" w:rsidR="002C764F" w:rsidRPr="00A42FA0" w:rsidRDefault="002C764F" w:rsidP="002C764F">
            <w:pPr>
              <w:pStyle w:val="paragraph"/>
              <w:numPr>
                <w:ilvl w:val="0"/>
                <w:numId w:val="25"/>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New construction</w:t>
            </w:r>
            <w:r w:rsidRPr="00A42FA0">
              <w:rPr>
                <w:rStyle w:val="eop"/>
                <w:rFonts w:ascii="Arial" w:hAnsi="Arial" w:cs="Arial"/>
                <w:sz w:val="22"/>
                <w:szCs w:val="22"/>
              </w:rPr>
              <w:t> </w:t>
            </w:r>
          </w:p>
          <w:p w14:paraId="636F9FF3" w14:textId="77777777" w:rsidR="002C764F" w:rsidRPr="00A42FA0" w:rsidRDefault="002C764F" w:rsidP="002C764F">
            <w:pPr>
              <w:pStyle w:val="paragraph"/>
              <w:numPr>
                <w:ilvl w:val="0"/>
                <w:numId w:val="25"/>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Acquisition and rehabilitation</w:t>
            </w:r>
            <w:r w:rsidRPr="00A42FA0">
              <w:rPr>
                <w:rStyle w:val="eop"/>
                <w:rFonts w:ascii="Arial" w:hAnsi="Arial" w:cs="Arial"/>
                <w:sz w:val="22"/>
                <w:szCs w:val="22"/>
              </w:rPr>
              <w:t> </w:t>
            </w:r>
          </w:p>
          <w:p w14:paraId="4C5812A8" w14:textId="77777777" w:rsidR="002C764F" w:rsidRPr="00A42FA0" w:rsidRDefault="002C764F" w:rsidP="002C764F">
            <w:pPr>
              <w:pStyle w:val="paragraph"/>
              <w:numPr>
                <w:ilvl w:val="0"/>
                <w:numId w:val="25"/>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Substantial rehabilitation </w:t>
            </w:r>
            <w:r w:rsidRPr="00A42FA0">
              <w:rPr>
                <w:rStyle w:val="eop"/>
                <w:rFonts w:ascii="Arial" w:hAnsi="Arial" w:cs="Arial"/>
                <w:sz w:val="22"/>
                <w:szCs w:val="22"/>
              </w:rPr>
              <w:t> </w:t>
            </w:r>
          </w:p>
          <w:p w14:paraId="69D087A7" w14:textId="77777777" w:rsidR="002C764F" w:rsidRPr="00A42FA0" w:rsidRDefault="002C764F" w:rsidP="002C764F">
            <w:pPr>
              <w:pStyle w:val="paragraph"/>
              <w:numPr>
                <w:ilvl w:val="0"/>
                <w:numId w:val="25"/>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Acquisition of long-term affordability covenants on multifamily units </w:t>
            </w:r>
            <w:r w:rsidRPr="00A42FA0">
              <w:rPr>
                <w:rStyle w:val="eop"/>
                <w:rFonts w:ascii="Arial" w:hAnsi="Arial" w:cs="Arial"/>
                <w:sz w:val="22"/>
                <w:szCs w:val="22"/>
              </w:rPr>
              <w:t> </w:t>
            </w:r>
          </w:p>
          <w:p w14:paraId="7FF0FC96" w14:textId="77777777" w:rsidR="002C764F" w:rsidRPr="00A42FA0" w:rsidRDefault="002C764F" w:rsidP="002C764F">
            <w:pPr>
              <w:pStyle w:val="paragraph"/>
              <w:numPr>
                <w:ilvl w:val="0"/>
                <w:numId w:val="25"/>
              </w:numPr>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Preservation of at-risk units whose affordable rent restrictions would otherwise expire over the next five</w:t>
            </w:r>
            <w:r w:rsidRPr="00A42FA0">
              <w:rPr>
                <w:rStyle w:val="apple-converted-space"/>
                <w:rFonts w:ascii="Arial" w:hAnsi="Arial" w:cs="Arial"/>
                <w:sz w:val="22"/>
                <w:szCs w:val="22"/>
              </w:rPr>
              <w:t> </w:t>
            </w:r>
            <w:r w:rsidRPr="00A42FA0">
              <w:rPr>
                <w:rStyle w:val="normaltextrun"/>
                <w:rFonts w:ascii="Arial" w:hAnsi="Arial" w:cs="Arial"/>
                <w:sz w:val="22"/>
                <w:szCs w:val="22"/>
              </w:rPr>
              <w:t>years</w:t>
            </w:r>
            <w:r w:rsidRPr="00A42FA0">
              <w:rPr>
                <w:rStyle w:val="eop"/>
                <w:rFonts w:ascii="Arial" w:hAnsi="Arial" w:cs="Arial"/>
                <w:sz w:val="22"/>
                <w:szCs w:val="22"/>
              </w:rPr>
              <w:t> </w:t>
            </w:r>
          </w:p>
          <w:p w14:paraId="5B170E69" w14:textId="77777777" w:rsidR="002C764F" w:rsidRPr="00A42FA0" w:rsidRDefault="002C764F" w:rsidP="00BB027B">
            <w:pPr>
              <w:pStyle w:val="paragraph"/>
              <w:spacing w:before="0" w:beforeAutospacing="0" w:after="0" w:afterAutospacing="0"/>
              <w:ind w:left="435"/>
              <w:jc w:val="both"/>
              <w:textAlignment w:val="baseline"/>
              <w:rPr>
                <w:rFonts w:ascii="Arial" w:hAnsi="Arial" w:cs="Arial"/>
                <w:sz w:val="22"/>
                <w:szCs w:val="22"/>
              </w:rPr>
            </w:pPr>
            <w:r w:rsidRPr="00A42FA0">
              <w:rPr>
                <w:rStyle w:val="eop"/>
                <w:rFonts w:ascii="Arial" w:hAnsi="Arial" w:cs="Arial"/>
                <w:sz w:val="22"/>
                <w:szCs w:val="22"/>
              </w:rPr>
              <w:t> </w:t>
            </w:r>
          </w:p>
        </w:tc>
      </w:tr>
      <w:tr w:rsidR="002C764F" w14:paraId="13B71F73" w14:textId="77777777" w:rsidTr="00BB027B">
        <w:trPr>
          <w:cantSplit/>
        </w:trPr>
        <w:tc>
          <w:tcPr>
            <w:tcW w:w="1715" w:type="dxa"/>
            <w:vMerge/>
            <w:tcBorders>
              <w:top w:val="nil"/>
              <w:left w:val="single" w:sz="6" w:space="0" w:color="auto"/>
              <w:bottom w:val="single" w:sz="6" w:space="0" w:color="auto"/>
              <w:right w:val="single" w:sz="6" w:space="0" w:color="auto"/>
            </w:tcBorders>
            <w:shd w:val="clear" w:color="auto" w:fill="auto"/>
            <w:hideMark/>
          </w:tcPr>
          <w:p w14:paraId="3202931D" w14:textId="77777777" w:rsidR="002C764F" w:rsidRPr="00A42FA0" w:rsidRDefault="002C764F" w:rsidP="00BB027B">
            <w:pPr>
              <w:rPr>
                <w:rFonts w:cs="Arial"/>
                <w:sz w:val="22"/>
                <w:szCs w:val="22"/>
              </w:rPr>
            </w:pPr>
          </w:p>
        </w:tc>
        <w:tc>
          <w:tcPr>
            <w:tcW w:w="2072" w:type="dxa"/>
            <w:tcBorders>
              <w:top w:val="nil"/>
              <w:left w:val="nil"/>
              <w:bottom w:val="single" w:sz="6" w:space="0" w:color="auto"/>
              <w:right w:val="single" w:sz="6" w:space="0" w:color="auto"/>
            </w:tcBorders>
            <w:shd w:val="clear" w:color="auto" w:fill="auto"/>
            <w:noWrap/>
            <w:hideMark/>
          </w:tcPr>
          <w:p w14:paraId="27D285BF" w14:textId="17189E22" w:rsidR="002C764F" w:rsidRDefault="002C764F" w:rsidP="00BB027B">
            <w:pPr>
              <w:pStyle w:val="paragraph"/>
              <w:spacing w:before="0" w:beforeAutospacing="0" w:after="0" w:afterAutospacing="0"/>
              <w:ind w:left="-1" w:hanging="1"/>
              <w:textAlignment w:val="baseline"/>
              <w:rPr>
                <w:rStyle w:val="eop"/>
                <w:rFonts w:ascii="Arial" w:hAnsi="Arial" w:cs="Arial"/>
                <w:color w:val="E36C0A"/>
                <w:sz w:val="22"/>
                <w:szCs w:val="22"/>
              </w:rPr>
            </w:pPr>
            <w:r w:rsidRPr="00A42FA0">
              <w:rPr>
                <w:rStyle w:val="normaltextrun"/>
                <w:rFonts w:ascii="Arial" w:hAnsi="Arial" w:cs="Arial"/>
                <w:b/>
                <w:bCs/>
                <w:i/>
                <w:iCs/>
                <w:color w:val="E36C0A"/>
                <w:sz w:val="22"/>
                <w:szCs w:val="22"/>
              </w:rPr>
              <w:t>Income Targets</w:t>
            </w:r>
            <w:r w:rsidRPr="00A42FA0">
              <w:rPr>
                <w:rStyle w:val="eop"/>
                <w:rFonts w:ascii="Arial" w:hAnsi="Arial" w:cs="Arial"/>
                <w:color w:val="E36C0A"/>
                <w:sz w:val="22"/>
                <w:szCs w:val="22"/>
              </w:rPr>
              <w:t> </w:t>
            </w:r>
          </w:p>
          <w:p w14:paraId="2677398C" w14:textId="77777777" w:rsidR="00FE240E" w:rsidRPr="00A42FA0" w:rsidRDefault="00FE240E" w:rsidP="00BB027B">
            <w:pPr>
              <w:pStyle w:val="paragraph"/>
              <w:spacing w:before="0" w:beforeAutospacing="0" w:after="0" w:afterAutospacing="0"/>
              <w:ind w:left="-1" w:hanging="1"/>
              <w:textAlignment w:val="baseline"/>
              <w:rPr>
                <w:rFonts w:ascii="Arial" w:hAnsi="Arial" w:cs="Arial"/>
                <w:sz w:val="22"/>
                <w:szCs w:val="22"/>
              </w:rPr>
            </w:pPr>
          </w:p>
          <w:p w14:paraId="3A6E0737" w14:textId="77777777" w:rsidR="00FE240E" w:rsidRDefault="002C764F" w:rsidP="00BB027B">
            <w:pPr>
              <w:pStyle w:val="paragraph"/>
              <w:spacing w:before="0" w:beforeAutospacing="0" w:after="0" w:afterAutospacing="0"/>
              <w:ind w:left="-1" w:hanging="1"/>
              <w:textAlignment w:val="baseline"/>
              <w:rPr>
                <w:rStyle w:val="apple-converted-space"/>
                <w:rFonts w:ascii="Arial" w:hAnsi="Arial" w:cs="Arial"/>
                <w:i/>
                <w:iCs/>
                <w:color w:val="365F91"/>
                <w:sz w:val="22"/>
                <w:szCs w:val="22"/>
              </w:rPr>
            </w:pPr>
            <w:r w:rsidRPr="00A42FA0">
              <w:rPr>
                <w:rStyle w:val="normaltextrun"/>
                <w:rFonts w:ascii="Arial" w:hAnsi="Arial" w:cs="Arial"/>
                <w:i/>
                <w:iCs/>
                <w:color w:val="365F91"/>
                <w:sz w:val="22"/>
                <w:szCs w:val="22"/>
              </w:rPr>
              <w:t>Fixed</w:t>
            </w:r>
            <w:r w:rsidRPr="00A42FA0">
              <w:rPr>
                <w:rStyle w:val="apple-converted-space"/>
                <w:rFonts w:ascii="Arial" w:hAnsi="Arial" w:cs="Arial"/>
                <w:i/>
                <w:iCs/>
                <w:color w:val="365F91"/>
                <w:sz w:val="22"/>
                <w:szCs w:val="22"/>
              </w:rPr>
              <w:t> </w:t>
            </w:r>
            <w:r w:rsidRPr="00A42FA0">
              <w:rPr>
                <w:rStyle w:val="normaltextrun"/>
                <w:rFonts w:ascii="Arial" w:hAnsi="Arial" w:cs="Arial"/>
                <w:i/>
                <w:iCs/>
                <w:color w:val="365F91"/>
                <w:sz w:val="22"/>
                <w:szCs w:val="22"/>
              </w:rPr>
              <w:t>Five-Year Compliance Period</w:t>
            </w:r>
            <w:r w:rsidRPr="00A42FA0">
              <w:rPr>
                <w:rStyle w:val="apple-converted-space"/>
                <w:rFonts w:ascii="Arial" w:hAnsi="Arial" w:cs="Arial"/>
                <w:i/>
                <w:iCs/>
                <w:color w:val="365F91"/>
                <w:sz w:val="22"/>
                <w:szCs w:val="22"/>
              </w:rPr>
              <w:t> </w:t>
            </w:r>
          </w:p>
          <w:p w14:paraId="662796F8" w14:textId="77777777" w:rsidR="00FE240E" w:rsidRDefault="00FE240E" w:rsidP="00BB027B">
            <w:pPr>
              <w:pStyle w:val="paragraph"/>
              <w:spacing w:before="0" w:beforeAutospacing="0" w:after="0" w:afterAutospacing="0"/>
              <w:ind w:left="-1" w:hanging="1"/>
              <w:textAlignment w:val="baseline"/>
              <w:rPr>
                <w:rStyle w:val="apple-converted-space"/>
              </w:rPr>
            </w:pPr>
          </w:p>
          <w:p w14:paraId="5261AB6E" w14:textId="5FE74951" w:rsidR="002C764F" w:rsidRPr="00A42FA0" w:rsidRDefault="002C764F" w:rsidP="00BB027B">
            <w:pPr>
              <w:pStyle w:val="paragraph"/>
              <w:spacing w:before="0" w:beforeAutospacing="0" w:after="0" w:afterAutospacing="0"/>
              <w:ind w:left="-1" w:hanging="1"/>
              <w:textAlignment w:val="baseline"/>
              <w:rPr>
                <w:rFonts w:ascii="Arial" w:hAnsi="Arial" w:cs="Arial"/>
                <w:sz w:val="22"/>
                <w:szCs w:val="22"/>
              </w:rPr>
            </w:pPr>
            <w:r w:rsidRPr="00A42FA0">
              <w:rPr>
                <w:rStyle w:val="normaltextrun"/>
                <w:rFonts w:ascii="Arial" w:hAnsi="Arial" w:cs="Arial"/>
                <w:i/>
                <w:iCs/>
                <w:color w:val="365F91"/>
                <w:sz w:val="22"/>
                <w:szCs w:val="22"/>
              </w:rPr>
              <w:t>(</w:t>
            </w:r>
            <w:r w:rsidR="00FE240E">
              <w:rPr>
                <w:rStyle w:val="normaltextrun"/>
                <w:rFonts w:ascii="Arial" w:hAnsi="Arial" w:cs="Arial"/>
                <w:i/>
                <w:iCs/>
                <w:color w:val="365F91"/>
                <w:sz w:val="22"/>
                <w:szCs w:val="22"/>
              </w:rPr>
              <w:t>FY</w:t>
            </w:r>
            <w:r w:rsidR="008C3917">
              <w:rPr>
                <w:rStyle w:val="normaltextrun"/>
                <w:rFonts w:ascii="Arial" w:hAnsi="Arial" w:cs="Arial"/>
                <w:i/>
                <w:iCs/>
                <w:color w:val="365F91"/>
                <w:sz w:val="22"/>
                <w:szCs w:val="22"/>
              </w:rPr>
              <w:t xml:space="preserve"> </w:t>
            </w:r>
            <w:r w:rsidRPr="00A42FA0">
              <w:rPr>
                <w:rStyle w:val="normaltextrun"/>
                <w:rFonts w:ascii="Arial" w:hAnsi="Arial" w:cs="Arial"/>
                <w:i/>
                <w:iCs/>
                <w:color w:val="365F91"/>
                <w:sz w:val="22"/>
                <w:szCs w:val="22"/>
              </w:rPr>
              <w:t>2019-20 to 2023-24)</w:t>
            </w:r>
            <w:r w:rsidRPr="00A42FA0">
              <w:rPr>
                <w:rStyle w:val="eop"/>
                <w:rFonts w:ascii="Arial" w:hAnsi="Arial" w:cs="Arial"/>
                <w:color w:val="365F91"/>
                <w:sz w:val="22"/>
                <w:szCs w:val="22"/>
              </w:rPr>
              <w:t> </w:t>
            </w:r>
          </w:p>
          <w:p w14:paraId="07FA79E6" w14:textId="77777777" w:rsidR="002C764F" w:rsidRPr="00A42FA0" w:rsidRDefault="002C764F" w:rsidP="00BB027B">
            <w:pPr>
              <w:pStyle w:val="paragraph"/>
              <w:spacing w:before="0" w:beforeAutospacing="0" w:after="0" w:afterAutospacing="0"/>
              <w:ind w:left="-1" w:hanging="1"/>
              <w:textAlignment w:val="baseline"/>
              <w:rPr>
                <w:rFonts w:ascii="Arial" w:hAnsi="Arial" w:cs="Arial"/>
                <w:sz w:val="22"/>
                <w:szCs w:val="22"/>
              </w:rPr>
            </w:pPr>
            <w:r w:rsidRPr="00A42FA0">
              <w:rPr>
                <w:rStyle w:val="eop"/>
                <w:rFonts w:ascii="Arial" w:hAnsi="Arial" w:cs="Arial"/>
                <w:color w:val="E36C0A"/>
                <w:sz w:val="22"/>
                <w:szCs w:val="22"/>
              </w:rPr>
              <w:t> </w:t>
            </w:r>
          </w:p>
        </w:tc>
        <w:tc>
          <w:tcPr>
            <w:tcW w:w="6660" w:type="dxa"/>
            <w:tcBorders>
              <w:top w:val="nil"/>
              <w:left w:val="nil"/>
              <w:bottom w:val="single" w:sz="6" w:space="0" w:color="auto"/>
              <w:right w:val="single" w:sz="6" w:space="0" w:color="auto"/>
            </w:tcBorders>
            <w:shd w:val="clear" w:color="auto" w:fill="auto"/>
            <w:hideMark/>
          </w:tcPr>
          <w:p w14:paraId="2F23255A" w14:textId="77777777" w:rsidR="002C764F" w:rsidRPr="00A42FA0" w:rsidRDefault="002C764F" w:rsidP="00BB027B">
            <w:pPr>
              <w:pStyle w:val="paragraph"/>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Every five years (currently FYs</w:t>
            </w:r>
            <w:r w:rsidRPr="00A42FA0">
              <w:rPr>
                <w:rStyle w:val="apple-converted-space"/>
                <w:rFonts w:ascii="Arial" w:hAnsi="Arial" w:cs="Arial"/>
                <w:sz w:val="22"/>
                <w:szCs w:val="22"/>
              </w:rPr>
              <w:t> </w:t>
            </w:r>
            <w:r w:rsidRPr="00A42FA0">
              <w:rPr>
                <w:rStyle w:val="normaltextrun"/>
                <w:rFonts w:ascii="Arial" w:hAnsi="Arial" w:cs="Arial"/>
                <w:sz w:val="22"/>
                <w:szCs w:val="22"/>
              </w:rPr>
              <w:t>2020-2024), Housing Asset Funds must meet income targets:</w:t>
            </w:r>
            <w:r w:rsidRPr="00A42FA0">
              <w:rPr>
                <w:rStyle w:val="eop"/>
                <w:rFonts w:ascii="Arial" w:hAnsi="Arial" w:cs="Arial"/>
                <w:sz w:val="22"/>
                <w:szCs w:val="22"/>
              </w:rPr>
              <w:t> </w:t>
            </w:r>
          </w:p>
          <w:p w14:paraId="725CBB65" w14:textId="6D5CBB04" w:rsidR="002C764F" w:rsidRPr="00A42FA0" w:rsidRDefault="002C764F" w:rsidP="002C764F">
            <w:pPr>
              <w:pStyle w:val="paragraph"/>
              <w:numPr>
                <w:ilvl w:val="0"/>
                <w:numId w:val="26"/>
              </w:numPr>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At least 30% on extremely</w:t>
            </w:r>
            <w:r w:rsidRPr="00A42FA0">
              <w:rPr>
                <w:rStyle w:val="apple-converted-space"/>
                <w:rFonts w:ascii="Arial" w:hAnsi="Arial" w:cs="Arial"/>
                <w:sz w:val="22"/>
                <w:szCs w:val="22"/>
              </w:rPr>
              <w:t> </w:t>
            </w:r>
            <w:r w:rsidR="00C65DFA" w:rsidRPr="00A42FA0">
              <w:rPr>
                <w:rStyle w:val="normaltextrun"/>
                <w:rFonts w:ascii="Arial" w:hAnsi="Arial" w:cs="Arial"/>
                <w:sz w:val="22"/>
                <w:szCs w:val="22"/>
              </w:rPr>
              <w:t>low-income</w:t>
            </w:r>
            <w:r w:rsidRPr="00A42FA0">
              <w:rPr>
                <w:rStyle w:val="apple-converted-space"/>
                <w:rFonts w:ascii="Arial" w:hAnsi="Arial" w:cs="Arial"/>
                <w:sz w:val="22"/>
                <w:szCs w:val="22"/>
              </w:rPr>
              <w:t> </w:t>
            </w:r>
            <w:r w:rsidRPr="00A42FA0">
              <w:rPr>
                <w:rStyle w:val="normaltextrun"/>
                <w:rFonts w:ascii="Arial" w:hAnsi="Arial" w:cs="Arial"/>
                <w:sz w:val="22"/>
                <w:szCs w:val="22"/>
              </w:rPr>
              <w:t>rental households (up to 30% AMI or “Area Median Income”)</w:t>
            </w:r>
            <w:r w:rsidRPr="00A42FA0">
              <w:rPr>
                <w:rStyle w:val="eop"/>
                <w:rFonts w:ascii="Arial" w:hAnsi="Arial" w:cs="Arial"/>
                <w:sz w:val="22"/>
                <w:szCs w:val="22"/>
              </w:rPr>
              <w:t> </w:t>
            </w:r>
          </w:p>
          <w:p w14:paraId="6A8DF964" w14:textId="197F7F84" w:rsidR="002C764F" w:rsidRPr="00A42FA0" w:rsidRDefault="002C764F" w:rsidP="002C764F">
            <w:pPr>
              <w:pStyle w:val="paragraph"/>
              <w:numPr>
                <w:ilvl w:val="0"/>
                <w:numId w:val="26"/>
              </w:numPr>
              <w:spacing w:before="0" w:beforeAutospacing="0" w:after="0" w:afterAutospacing="0"/>
              <w:textAlignment w:val="baseline"/>
              <w:rPr>
                <w:rFonts w:ascii="Arial" w:hAnsi="Arial" w:cs="Arial"/>
                <w:sz w:val="22"/>
                <w:szCs w:val="22"/>
              </w:rPr>
            </w:pPr>
            <w:r w:rsidRPr="00A42FA0">
              <w:rPr>
                <w:rStyle w:val="normaltextrun"/>
                <w:rFonts w:ascii="Arial" w:hAnsi="Arial" w:cs="Arial"/>
                <w:sz w:val="22"/>
                <w:szCs w:val="22"/>
              </w:rPr>
              <w:t>No more than 20% on</w:t>
            </w:r>
            <w:r w:rsidRPr="00A42FA0">
              <w:rPr>
                <w:rStyle w:val="apple-converted-space"/>
                <w:rFonts w:ascii="Arial" w:hAnsi="Arial" w:cs="Arial"/>
                <w:sz w:val="22"/>
                <w:szCs w:val="22"/>
              </w:rPr>
              <w:t> </w:t>
            </w:r>
            <w:r w:rsidR="00C65DFA" w:rsidRPr="00A42FA0">
              <w:rPr>
                <w:rStyle w:val="normaltextrun"/>
                <w:rFonts w:ascii="Arial" w:hAnsi="Arial" w:cs="Arial"/>
                <w:sz w:val="22"/>
                <w:szCs w:val="22"/>
              </w:rPr>
              <w:t>low-income</w:t>
            </w:r>
            <w:r w:rsidRPr="00A42FA0">
              <w:rPr>
                <w:rStyle w:val="apple-converted-space"/>
                <w:rFonts w:ascii="Arial" w:hAnsi="Arial" w:cs="Arial"/>
                <w:sz w:val="22"/>
                <w:szCs w:val="22"/>
              </w:rPr>
              <w:t> </w:t>
            </w:r>
            <w:r w:rsidRPr="00A42FA0">
              <w:rPr>
                <w:rStyle w:val="normaltextrun"/>
                <w:rFonts w:ascii="Arial" w:hAnsi="Arial" w:cs="Arial"/>
                <w:sz w:val="22"/>
                <w:szCs w:val="22"/>
              </w:rPr>
              <w:t>households (60-80% AMI)</w:t>
            </w:r>
            <w:r w:rsidRPr="00A42FA0">
              <w:rPr>
                <w:rStyle w:val="eop"/>
                <w:rFonts w:ascii="Arial" w:hAnsi="Arial" w:cs="Arial"/>
                <w:sz w:val="22"/>
                <w:szCs w:val="22"/>
              </w:rPr>
              <w:t> </w:t>
            </w:r>
          </w:p>
          <w:p w14:paraId="63A55A27" w14:textId="77777777" w:rsidR="002C764F" w:rsidRPr="00A42FA0" w:rsidRDefault="002C764F" w:rsidP="00BB027B">
            <w:pPr>
              <w:pStyle w:val="paragraph"/>
              <w:spacing w:before="0" w:beforeAutospacing="0" w:after="0" w:afterAutospacing="0"/>
              <w:ind w:left="60" w:firstLine="60"/>
              <w:textAlignment w:val="baseline"/>
              <w:rPr>
                <w:rFonts w:ascii="Arial" w:hAnsi="Arial" w:cs="Arial"/>
                <w:sz w:val="22"/>
                <w:szCs w:val="22"/>
              </w:rPr>
            </w:pPr>
          </w:p>
          <w:p w14:paraId="5980686D" w14:textId="4B4BB68E" w:rsidR="002C764F" w:rsidRPr="00A42FA0" w:rsidRDefault="002C764F" w:rsidP="00BB027B">
            <w:pPr>
              <w:pStyle w:val="paragraph"/>
              <w:spacing w:before="0" w:beforeAutospacing="0" w:after="0" w:afterAutospacing="0"/>
              <w:ind w:left="60"/>
              <w:textAlignment w:val="baseline"/>
              <w:rPr>
                <w:rFonts w:ascii="Arial" w:hAnsi="Arial" w:cs="Arial"/>
                <w:sz w:val="22"/>
                <w:szCs w:val="22"/>
              </w:rPr>
            </w:pPr>
            <w:r w:rsidRPr="00A42FA0">
              <w:rPr>
                <w:rStyle w:val="normaltextrun"/>
                <w:rFonts w:ascii="Arial" w:hAnsi="Arial" w:cs="Arial"/>
                <w:sz w:val="22"/>
                <w:szCs w:val="22"/>
              </w:rPr>
              <w:t>Moderate and above</w:t>
            </w:r>
            <w:r w:rsidRPr="00A42FA0">
              <w:rPr>
                <w:rStyle w:val="apple-converted-space"/>
                <w:rFonts w:ascii="Arial" w:hAnsi="Arial" w:cs="Arial"/>
                <w:sz w:val="22"/>
                <w:szCs w:val="22"/>
              </w:rPr>
              <w:t> </w:t>
            </w:r>
            <w:r w:rsidR="00C65DFA" w:rsidRPr="00A42FA0">
              <w:rPr>
                <w:rStyle w:val="normaltextrun"/>
                <w:rFonts w:ascii="Arial" w:hAnsi="Arial" w:cs="Arial"/>
                <w:sz w:val="22"/>
                <w:szCs w:val="22"/>
              </w:rPr>
              <w:t>moderate-income</w:t>
            </w:r>
            <w:r w:rsidRPr="00A42FA0">
              <w:rPr>
                <w:rStyle w:val="apple-converted-space"/>
                <w:rFonts w:ascii="Arial" w:hAnsi="Arial" w:cs="Arial"/>
                <w:sz w:val="22"/>
                <w:szCs w:val="22"/>
              </w:rPr>
              <w:t> </w:t>
            </w:r>
            <w:r w:rsidRPr="00A42FA0">
              <w:rPr>
                <w:rStyle w:val="normaltextrun"/>
                <w:rFonts w:ascii="Arial" w:hAnsi="Arial" w:cs="Arial"/>
                <w:sz w:val="22"/>
                <w:szCs w:val="22"/>
              </w:rPr>
              <w:t>households may not be assisted (above 80% AMI).</w:t>
            </w:r>
            <w:r w:rsidRPr="00A42FA0">
              <w:rPr>
                <w:rStyle w:val="eop"/>
                <w:rFonts w:ascii="Arial" w:hAnsi="Arial" w:cs="Arial"/>
                <w:sz w:val="22"/>
                <w:szCs w:val="22"/>
              </w:rPr>
              <w:t> </w:t>
            </w:r>
          </w:p>
          <w:p w14:paraId="2E330AC5" w14:textId="77777777" w:rsidR="002C764F" w:rsidRPr="00A42FA0" w:rsidRDefault="002C764F" w:rsidP="00BB027B">
            <w:pPr>
              <w:pStyle w:val="paragraph"/>
              <w:spacing w:before="0" w:beforeAutospacing="0" w:after="0" w:afterAutospacing="0"/>
              <w:ind w:left="60"/>
              <w:textAlignment w:val="baseline"/>
              <w:rPr>
                <w:rFonts w:ascii="Arial" w:hAnsi="Arial" w:cs="Arial"/>
                <w:sz w:val="22"/>
                <w:szCs w:val="22"/>
              </w:rPr>
            </w:pPr>
            <w:r w:rsidRPr="00A42FA0">
              <w:rPr>
                <w:rStyle w:val="eop"/>
                <w:rFonts w:ascii="Arial" w:hAnsi="Arial" w:cs="Arial"/>
                <w:sz w:val="22"/>
                <w:szCs w:val="22"/>
              </w:rPr>
              <w:t> </w:t>
            </w:r>
          </w:p>
          <w:p w14:paraId="7730F3FD" w14:textId="32A749FE" w:rsidR="002C764F" w:rsidRPr="00A42FA0" w:rsidRDefault="002C764F" w:rsidP="00BB027B">
            <w:pPr>
              <w:pStyle w:val="paragraph"/>
              <w:spacing w:before="0" w:beforeAutospacing="0" w:after="0" w:afterAutospacing="0"/>
              <w:ind w:left="60"/>
              <w:textAlignment w:val="baseline"/>
              <w:rPr>
                <w:rFonts w:ascii="Arial" w:hAnsi="Arial" w:cs="Arial"/>
                <w:sz w:val="22"/>
                <w:szCs w:val="22"/>
              </w:rPr>
            </w:pPr>
            <w:r w:rsidRPr="00A42FA0">
              <w:rPr>
                <w:rStyle w:val="normaltextrun"/>
                <w:rFonts w:ascii="Arial" w:hAnsi="Arial" w:cs="Arial"/>
                <w:sz w:val="22"/>
                <w:szCs w:val="22"/>
              </w:rPr>
              <w:t>Failure to comply with the extremely</w:t>
            </w:r>
            <w:r w:rsidRPr="00A42FA0">
              <w:rPr>
                <w:rStyle w:val="apple-converted-space"/>
                <w:rFonts w:ascii="Arial" w:hAnsi="Arial" w:cs="Arial"/>
                <w:sz w:val="22"/>
                <w:szCs w:val="22"/>
              </w:rPr>
              <w:t> </w:t>
            </w:r>
            <w:r w:rsidR="00C65DFA" w:rsidRPr="00A42FA0">
              <w:rPr>
                <w:rStyle w:val="normaltextrun"/>
                <w:rFonts w:ascii="Arial" w:hAnsi="Arial" w:cs="Arial"/>
                <w:sz w:val="22"/>
                <w:szCs w:val="22"/>
              </w:rPr>
              <w:t>low-income</w:t>
            </w:r>
            <w:r w:rsidRPr="00A42FA0">
              <w:rPr>
                <w:rStyle w:val="apple-converted-space"/>
                <w:rFonts w:ascii="Arial" w:hAnsi="Arial" w:cs="Arial"/>
                <w:sz w:val="22"/>
                <w:szCs w:val="22"/>
              </w:rPr>
              <w:t> </w:t>
            </w:r>
            <w:r w:rsidRPr="00A42FA0">
              <w:rPr>
                <w:rStyle w:val="normaltextrun"/>
                <w:rFonts w:ascii="Arial" w:hAnsi="Arial" w:cs="Arial"/>
                <w:sz w:val="22"/>
                <w:szCs w:val="22"/>
              </w:rPr>
              <w:t>requirement in any five-year compliance period will result in having to ensure that 50 percent of remaining funds be spent on extremely</w:t>
            </w:r>
            <w:r w:rsidRPr="00A42FA0">
              <w:rPr>
                <w:rStyle w:val="apple-converted-space"/>
                <w:rFonts w:ascii="Arial" w:hAnsi="Arial" w:cs="Arial"/>
                <w:sz w:val="22"/>
                <w:szCs w:val="22"/>
              </w:rPr>
              <w:t> </w:t>
            </w:r>
            <w:r w:rsidRPr="00A42FA0">
              <w:rPr>
                <w:rStyle w:val="normaltextrun"/>
                <w:rFonts w:ascii="Arial" w:hAnsi="Arial" w:cs="Arial"/>
                <w:sz w:val="22"/>
                <w:szCs w:val="22"/>
              </w:rPr>
              <w:t>low income</w:t>
            </w:r>
            <w:r w:rsidRPr="00A42FA0">
              <w:rPr>
                <w:rStyle w:val="apple-converted-space"/>
                <w:rFonts w:ascii="Arial" w:hAnsi="Arial" w:cs="Arial"/>
                <w:sz w:val="22"/>
                <w:szCs w:val="22"/>
              </w:rPr>
              <w:t> </w:t>
            </w:r>
            <w:r w:rsidRPr="00A42FA0">
              <w:rPr>
                <w:rStyle w:val="normaltextrun"/>
                <w:rFonts w:ascii="Arial" w:hAnsi="Arial" w:cs="Arial"/>
                <w:sz w:val="22"/>
                <w:szCs w:val="22"/>
              </w:rPr>
              <w:t>rental units until in compliance. </w:t>
            </w:r>
            <w:r w:rsidRPr="00A42FA0">
              <w:rPr>
                <w:rStyle w:val="eop"/>
                <w:rFonts w:ascii="Arial" w:hAnsi="Arial" w:cs="Arial"/>
                <w:sz w:val="22"/>
                <w:szCs w:val="22"/>
              </w:rPr>
              <w:t> </w:t>
            </w:r>
          </w:p>
          <w:p w14:paraId="2C0D3B9B" w14:textId="77777777" w:rsidR="002C764F" w:rsidRPr="00A42FA0" w:rsidRDefault="002C764F" w:rsidP="00BB027B">
            <w:pPr>
              <w:pStyle w:val="paragraph"/>
              <w:spacing w:before="0" w:beforeAutospacing="0" w:after="0" w:afterAutospacing="0"/>
              <w:ind w:left="60"/>
              <w:textAlignment w:val="baseline"/>
              <w:rPr>
                <w:rFonts w:ascii="Arial" w:hAnsi="Arial" w:cs="Arial"/>
                <w:sz w:val="22"/>
                <w:szCs w:val="22"/>
              </w:rPr>
            </w:pPr>
            <w:r w:rsidRPr="00A42FA0">
              <w:rPr>
                <w:rStyle w:val="eop"/>
                <w:rFonts w:ascii="Arial" w:hAnsi="Arial" w:cs="Arial"/>
                <w:sz w:val="22"/>
                <w:szCs w:val="22"/>
              </w:rPr>
              <w:t> </w:t>
            </w:r>
          </w:p>
          <w:p w14:paraId="12B4652E" w14:textId="77777777" w:rsidR="002C764F" w:rsidRPr="00A42FA0" w:rsidRDefault="002C764F" w:rsidP="00BB027B">
            <w:pPr>
              <w:pStyle w:val="paragraph"/>
              <w:spacing w:before="0" w:beforeAutospacing="0" w:after="0" w:afterAutospacing="0"/>
              <w:ind w:left="60"/>
              <w:textAlignment w:val="baseline"/>
              <w:rPr>
                <w:rFonts w:ascii="Arial" w:hAnsi="Arial" w:cs="Arial"/>
                <w:sz w:val="22"/>
                <w:szCs w:val="22"/>
              </w:rPr>
            </w:pPr>
            <w:r w:rsidRPr="00A42FA0">
              <w:rPr>
                <w:rStyle w:val="normaltextrun"/>
                <w:rFonts w:ascii="Arial" w:hAnsi="Arial" w:cs="Arial"/>
                <w:sz w:val="22"/>
                <w:szCs w:val="22"/>
              </w:rPr>
              <w:t>Exceeding the expenditure limit for low households earning between 60-80% AMI in any five-year reporting period will result in not being able to expend any funds on these income categories until in compliance. </w:t>
            </w:r>
            <w:r w:rsidRPr="00A42FA0">
              <w:rPr>
                <w:rStyle w:val="eop"/>
                <w:rFonts w:ascii="Arial" w:hAnsi="Arial" w:cs="Arial"/>
                <w:sz w:val="22"/>
                <w:szCs w:val="22"/>
              </w:rPr>
              <w:t> </w:t>
            </w:r>
          </w:p>
          <w:p w14:paraId="2D9A4E35" w14:textId="77777777" w:rsidR="002C764F" w:rsidRPr="00A42FA0" w:rsidRDefault="002C764F" w:rsidP="00BB027B">
            <w:pPr>
              <w:pStyle w:val="paragraph"/>
              <w:spacing w:before="0" w:beforeAutospacing="0" w:after="0" w:afterAutospacing="0"/>
              <w:textAlignment w:val="baseline"/>
              <w:rPr>
                <w:rFonts w:ascii="Arial" w:hAnsi="Arial" w:cs="Arial"/>
                <w:sz w:val="22"/>
                <w:szCs w:val="22"/>
              </w:rPr>
            </w:pPr>
            <w:r w:rsidRPr="00A42FA0">
              <w:rPr>
                <w:rStyle w:val="eop"/>
                <w:rFonts w:ascii="Arial" w:hAnsi="Arial" w:cs="Arial"/>
                <w:sz w:val="22"/>
                <w:szCs w:val="22"/>
              </w:rPr>
              <w:t> </w:t>
            </w:r>
          </w:p>
        </w:tc>
      </w:tr>
      <w:tr w:rsidR="002C764F" w14:paraId="24949065" w14:textId="77777777" w:rsidTr="00BB027B">
        <w:tc>
          <w:tcPr>
            <w:tcW w:w="1715" w:type="dxa"/>
            <w:vMerge/>
            <w:tcBorders>
              <w:top w:val="nil"/>
              <w:left w:val="single" w:sz="6" w:space="0" w:color="auto"/>
              <w:bottom w:val="single" w:sz="6" w:space="0" w:color="auto"/>
              <w:right w:val="single" w:sz="6" w:space="0" w:color="auto"/>
            </w:tcBorders>
            <w:shd w:val="clear" w:color="auto" w:fill="auto"/>
            <w:hideMark/>
          </w:tcPr>
          <w:p w14:paraId="733E2A3C" w14:textId="77777777" w:rsidR="002C764F" w:rsidRPr="00A42FA0" w:rsidRDefault="002C764F" w:rsidP="00BB027B">
            <w:pPr>
              <w:rPr>
                <w:rFonts w:cs="Arial"/>
                <w:sz w:val="22"/>
                <w:szCs w:val="22"/>
              </w:rPr>
            </w:pPr>
          </w:p>
        </w:tc>
        <w:tc>
          <w:tcPr>
            <w:tcW w:w="2072" w:type="dxa"/>
            <w:tcBorders>
              <w:top w:val="nil"/>
              <w:left w:val="nil"/>
              <w:bottom w:val="single" w:sz="6" w:space="0" w:color="auto"/>
              <w:right w:val="single" w:sz="6" w:space="0" w:color="auto"/>
            </w:tcBorders>
            <w:shd w:val="clear" w:color="auto" w:fill="auto"/>
            <w:noWrap/>
            <w:hideMark/>
          </w:tcPr>
          <w:p w14:paraId="32E72720" w14:textId="46F480C4" w:rsidR="002C764F" w:rsidRDefault="002C764F" w:rsidP="00BB027B">
            <w:pPr>
              <w:pStyle w:val="paragraph"/>
              <w:spacing w:before="0" w:beforeAutospacing="0" w:after="0" w:afterAutospacing="0"/>
              <w:ind w:left="-1" w:hanging="1"/>
              <w:textAlignment w:val="baseline"/>
              <w:rPr>
                <w:rStyle w:val="eop"/>
                <w:rFonts w:ascii="Arial" w:hAnsi="Arial" w:cs="Arial"/>
                <w:color w:val="E36C0A"/>
                <w:sz w:val="22"/>
                <w:szCs w:val="22"/>
              </w:rPr>
            </w:pPr>
            <w:r w:rsidRPr="00A42FA0">
              <w:rPr>
                <w:rStyle w:val="normaltextrun"/>
                <w:rFonts w:ascii="Arial" w:hAnsi="Arial" w:cs="Arial"/>
                <w:b/>
                <w:bCs/>
                <w:i/>
                <w:iCs/>
                <w:color w:val="E36C0A"/>
                <w:sz w:val="22"/>
                <w:szCs w:val="22"/>
              </w:rPr>
              <w:t>Age Targets </w:t>
            </w:r>
            <w:r w:rsidRPr="00A42FA0">
              <w:rPr>
                <w:rStyle w:val="eop"/>
                <w:rFonts w:ascii="Arial" w:hAnsi="Arial" w:cs="Arial"/>
                <w:color w:val="E36C0A"/>
                <w:sz w:val="22"/>
                <w:szCs w:val="22"/>
              </w:rPr>
              <w:t> </w:t>
            </w:r>
          </w:p>
          <w:p w14:paraId="2CFCBEF7" w14:textId="77777777" w:rsidR="008C3917" w:rsidRPr="00A42FA0" w:rsidRDefault="008C3917" w:rsidP="00BB027B">
            <w:pPr>
              <w:pStyle w:val="paragraph"/>
              <w:spacing w:before="0" w:beforeAutospacing="0" w:after="0" w:afterAutospacing="0"/>
              <w:ind w:left="-1" w:hanging="1"/>
              <w:textAlignment w:val="baseline"/>
              <w:rPr>
                <w:rFonts w:ascii="Arial" w:hAnsi="Arial" w:cs="Arial"/>
                <w:sz w:val="22"/>
                <w:szCs w:val="22"/>
              </w:rPr>
            </w:pPr>
          </w:p>
          <w:p w14:paraId="68D4BCAE" w14:textId="7736C273" w:rsidR="002C764F" w:rsidRPr="00A42FA0" w:rsidRDefault="002C764F" w:rsidP="00BB027B">
            <w:pPr>
              <w:pStyle w:val="paragraph"/>
              <w:spacing w:before="0" w:beforeAutospacing="0" w:after="0" w:afterAutospacing="0"/>
              <w:ind w:left="-1" w:hanging="1"/>
              <w:textAlignment w:val="baseline"/>
              <w:rPr>
                <w:rFonts w:ascii="Arial" w:hAnsi="Arial" w:cs="Arial"/>
                <w:sz w:val="22"/>
                <w:szCs w:val="22"/>
              </w:rPr>
            </w:pPr>
            <w:r w:rsidRPr="00A42FA0">
              <w:rPr>
                <w:rStyle w:val="normaltextrun"/>
                <w:rFonts w:ascii="Arial" w:hAnsi="Arial" w:cs="Arial"/>
                <w:i/>
                <w:iCs/>
                <w:color w:val="365F91"/>
                <w:sz w:val="22"/>
                <w:szCs w:val="22"/>
              </w:rPr>
              <w:t>Rolling</w:t>
            </w:r>
            <w:r w:rsidRPr="00A42FA0">
              <w:rPr>
                <w:rStyle w:val="apple-converted-space"/>
                <w:rFonts w:ascii="Arial" w:hAnsi="Arial" w:cs="Arial"/>
                <w:i/>
                <w:iCs/>
                <w:color w:val="365F91"/>
                <w:sz w:val="22"/>
                <w:szCs w:val="22"/>
              </w:rPr>
              <w:t> </w:t>
            </w:r>
            <w:r w:rsidRPr="00A42FA0">
              <w:rPr>
                <w:rStyle w:val="normaltextrun"/>
                <w:rFonts w:ascii="Arial" w:hAnsi="Arial" w:cs="Arial"/>
                <w:i/>
                <w:iCs/>
                <w:color w:val="365F91"/>
                <w:sz w:val="22"/>
                <w:szCs w:val="22"/>
              </w:rPr>
              <w:t>Ten-Year Period</w:t>
            </w:r>
            <w:r w:rsidRPr="00A42FA0">
              <w:rPr>
                <w:rStyle w:val="apple-converted-space"/>
                <w:rFonts w:ascii="Arial" w:hAnsi="Arial" w:cs="Arial"/>
                <w:i/>
                <w:iCs/>
                <w:color w:val="365F91"/>
                <w:sz w:val="22"/>
                <w:szCs w:val="22"/>
              </w:rPr>
              <w:t> </w:t>
            </w:r>
          </w:p>
        </w:tc>
        <w:tc>
          <w:tcPr>
            <w:tcW w:w="6660" w:type="dxa"/>
            <w:tcBorders>
              <w:top w:val="nil"/>
              <w:left w:val="nil"/>
              <w:bottom w:val="single" w:sz="6" w:space="0" w:color="auto"/>
              <w:right w:val="single" w:sz="6" w:space="0" w:color="auto"/>
            </w:tcBorders>
            <w:shd w:val="clear" w:color="auto" w:fill="auto"/>
            <w:hideMark/>
          </w:tcPr>
          <w:p w14:paraId="4457590B" w14:textId="77777777" w:rsidR="002C764F" w:rsidRPr="00A42FA0" w:rsidRDefault="002C764F" w:rsidP="00BB027B">
            <w:pPr>
              <w:pStyle w:val="paragraph"/>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For the prior ten years (resets every year), a maximum of 50% of</w:t>
            </w:r>
            <w:r w:rsidRPr="00A42FA0">
              <w:rPr>
                <w:rStyle w:val="apple-converted-space"/>
                <w:rFonts w:ascii="Arial" w:hAnsi="Arial" w:cs="Arial"/>
                <w:sz w:val="22"/>
                <w:szCs w:val="22"/>
              </w:rPr>
              <w:t> </w:t>
            </w:r>
            <w:r w:rsidRPr="00A42FA0">
              <w:rPr>
                <w:rStyle w:val="normaltextrun"/>
                <w:rFonts w:ascii="Arial" w:hAnsi="Arial" w:cs="Arial"/>
                <w:sz w:val="22"/>
                <w:szCs w:val="22"/>
              </w:rPr>
              <w:t>deed-restricted rental</w:t>
            </w:r>
            <w:r w:rsidRPr="00A42FA0">
              <w:rPr>
                <w:rStyle w:val="apple-converted-space"/>
                <w:rFonts w:ascii="Arial" w:hAnsi="Arial" w:cs="Arial"/>
                <w:sz w:val="22"/>
                <w:szCs w:val="22"/>
              </w:rPr>
              <w:t> </w:t>
            </w:r>
            <w:r w:rsidRPr="00A42FA0">
              <w:rPr>
                <w:rStyle w:val="normaltextrun"/>
                <w:rFonts w:ascii="Arial" w:hAnsi="Arial" w:cs="Arial"/>
                <w:sz w:val="22"/>
                <w:szCs w:val="22"/>
              </w:rPr>
              <w:t>housing units assisted by the Housing Successor</w:t>
            </w:r>
            <w:r w:rsidRPr="00A42FA0">
              <w:rPr>
                <w:rStyle w:val="apple-converted-space"/>
                <w:rFonts w:ascii="Arial" w:hAnsi="Arial" w:cs="Arial"/>
                <w:sz w:val="22"/>
                <w:szCs w:val="22"/>
              </w:rPr>
              <w:t> </w:t>
            </w:r>
            <w:r w:rsidRPr="00A42FA0">
              <w:rPr>
                <w:rStyle w:val="normaltextrun"/>
                <w:rFonts w:ascii="Arial" w:hAnsi="Arial" w:cs="Arial"/>
                <w:sz w:val="22"/>
                <w:szCs w:val="22"/>
              </w:rPr>
              <w:t>or its host jurisdiction</w:t>
            </w:r>
            <w:r w:rsidRPr="00A42FA0">
              <w:rPr>
                <w:rStyle w:val="apple-converted-space"/>
                <w:rFonts w:ascii="Arial" w:hAnsi="Arial" w:cs="Arial"/>
                <w:sz w:val="22"/>
                <w:szCs w:val="22"/>
              </w:rPr>
              <w:t> </w:t>
            </w:r>
            <w:r w:rsidRPr="00A42FA0">
              <w:rPr>
                <w:rStyle w:val="normaltextrun"/>
                <w:rFonts w:ascii="Arial" w:hAnsi="Arial" w:cs="Arial"/>
                <w:sz w:val="22"/>
                <w:szCs w:val="22"/>
              </w:rPr>
              <w:t>may be restricted to seniors. </w:t>
            </w:r>
            <w:r w:rsidRPr="00A42FA0">
              <w:rPr>
                <w:rStyle w:val="eop"/>
                <w:rFonts w:ascii="Arial" w:hAnsi="Arial" w:cs="Arial"/>
                <w:sz w:val="22"/>
                <w:szCs w:val="22"/>
              </w:rPr>
              <w:t> </w:t>
            </w:r>
          </w:p>
          <w:p w14:paraId="65FFE22C" w14:textId="77777777" w:rsidR="002C764F" w:rsidRPr="00A42FA0" w:rsidRDefault="002C764F" w:rsidP="00BB027B">
            <w:pPr>
              <w:pStyle w:val="paragraph"/>
              <w:spacing w:before="0" w:beforeAutospacing="0" w:after="0" w:afterAutospacing="0"/>
              <w:jc w:val="both"/>
              <w:textAlignment w:val="baseline"/>
              <w:rPr>
                <w:rFonts w:ascii="Arial" w:hAnsi="Arial" w:cs="Arial"/>
                <w:sz w:val="22"/>
                <w:szCs w:val="22"/>
              </w:rPr>
            </w:pPr>
            <w:r w:rsidRPr="00A42FA0">
              <w:rPr>
                <w:rStyle w:val="normaltextrun"/>
                <w:rFonts w:ascii="Arial" w:hAnsi="Arial" w:cs="Arial"/>
                <w:sz w:val="22"/>
                <w:szCs w:val="22"/>
              </w:rPr>
              <w:t>If a housing successor fails to comply, Housing Asset Funds may not be spent on deed-restricted rental housing restricted to seniors until in compliance.</w:t>
            </w:r>
            <w:r w:rsidRPr="00A42FA0">
              <w:rPr>
                <w:rStyle w:val="eop"/>
                <w:rFonts w:ascii="Arial" w:hAnsi="Arial" w:cs="Arial"/>
                <w:sz w:val="22"/>
                <w:szCs w:val="22"/>
              </w:rPr>
              <w:t> </w:t>
            </w:r>
          </w:p>
        </w:tc>
      </w:tr>
    </w:tbl>
    <w:p w14:paraId="7274476F" w14:textId="3B11E110" w:rsidR="00F76FB0" w:rsidRDefault="00F76FB0" w:rsidP="002C764F">
      <w:pPr>
        <w:pStyle w:val="paragraph"/>
        <w:spacing w:before="0" w:beforeAutospacing="0" w:after="0" w:afterAutospacing="0"/>
        <w:textAlignment w:val="baseline"/>
        <w:rPr>
          <w:rFonts w:ascii="Arial" w:hAnsi="Arial" w:cs="Arial"/>
          <w:sz w:val="18"/>
          <w:szCs w:val="18"/>
        </w:rPr>
      </w:pPr>
    </w:p>
    <w:p w14:paraId="37F3F310" w14:textId="77777777" w:rsidR="00F76FB0" w:rsidRDefault="00F76FB0">
      <w:pPr>
        <w:rPr>
          <w:rFonts w:cs="Arial"/>
          <w:sz w:val="18"/>
          <w:szCs w:val="18"/>
        </w:rPr>
      </w:pPr>
      <w:r>
        <w:rPr>
          <w:rFonts w:cs="Arial"/>
          <w:sz w:val="18"/>
          <w:szCs w:val="18"/>
        </w:rPr>
        <w:br w:type="page"/>
      </w:r>
    </w:p>
    <w:p w14:paraId="46754B4E" w14:textId="77777777" w:rsidR="00820601" w:rsidRDefault="00820601" w:rsidP="00820601">
      <w:pPr>
        <w:pStyle w:val="paragraph"/>
        <w:spacing w:before="0" w:beforeAutospacing="0" w:after="0" w:afterAutospacing="0"/>
        <w:jc w:val="center"/>
        <w:textAlignment w:val="baseline"/>
        <w:rPr>
          <w:rFonts w:ascii="Arial" w:hAnsi="Arial" w:cs="Arial"/>
          <w:sz w:val="18"/>
          <w:szCs w:val="18"/>
        </w:rPr>
      </w:pPr>
    </w:p>
    <w:p w14:paraId="760B0A6E" w14:textId="0EE6224D" w:rsidR="004F23CA" w:rsidRPr="00FD07A1" w:rsidRDefault="004F23CA" w:rsidP="004F23CA">
      <w:pPr>
        <w:pStyle w:val="RSGHeading01"/>
      </w:pPr>
      <w:bookmarkStart w:id="87" w:name="_Toc160613175"/>
      <w:r w:rsidRPr="00602833">
        <w:t xml:space="preserve">APPENDIX </w:t>
      </w:r>
      <w:r>
        <w:t>4 – Homeownership unit inventory</w:t>
      </w:r>
      <w:bookmarkEnd w:id="87"/>
    </w:p>
    <w:tbl>
      <w:tblPr>
        <w:tblW w:w="10421" w:type="dxa"/>
        <w:tblInd w:w="-185" w:type="dxa"/>
        <w:tblLook w:val="04A0" w:firstRow="1" w:lastRow="0" w:firstColumn="1" w:lastColumn="0" w:noHBand="0" w:noVBand="1"/>
      </w:tblPr>
      <w:tblGrid>
        <w:gridCol w:w="5663"/>
        <w:gridCol w:w="1861"/>
        <w:gridCol w:w="1381"/>
        <w:gridCol w:w="1516"/>
      </w:tblGrid>
      <w:tr w:rsidR="004F23CA" w:rsidRPr="004F23CA" w14:paraId="2D961AEC" w14:textId="77777777" w:rsidTr="007C129C">
        <w:trPr>
          <w:trHeight w:val="315"/>
          <w:tblHeader/>
        </w:trPr>
        <w:tc>
          <w:tcPr>
            <w:tcW w:w="10421" w:type="dxa"/>
            <w:gridSpan w:val="4"/>
            <w:tcBorders>
              <w:top w:val="single" w:sz="4" w:space="0" w:color="auto"/>
              <w:left w:val="single" w:sz="4" w:space="0" w:color="auto"/>
              <w:bottom w:val="single" w:sz="4" w:space="0" w:color="auto"/>
              <w:right w:val="single" w:sz="4" w:space="0" w:color="auto"/>
            </w:tcBorders>
            <w:shd w:val="clear" w:color="auto" w:fill="005391"/>
            <w:noWrap/>
            <w:hideMark/>
          </w:tcPr>
          <w:p w14:paraId="27D83C82" w14:textId="0C7AEA44" w:rsidR="004F23CA" w:rsidRPr="007F7189" w:rsidRDefault="004F23CA" w:rsidP="004F23CA">
            <w:pPr>
              <w:jc w:val="center"/>
              <w:rPr>
                <w:rFonts w:cs="Arial"/>
                <w:b/>
                <w:bCs/>
                <w:color w:val="FFFFFF" w:themeColor="background1"/>
                <w:sz w:val="22"/>
                <w:szCs w:val="22"/>
              </w:rPr>
            </w:pPr>
            <w:bookmarkStart w:id="88" w:name="RANGE!A2:D26"/>
            <w:r w:rsidRPr="007F7189">
              <w:rPr>
                <w:rFonts w:cs="Arial"/>
                <w:b/>
                <w:bCs/>
                <w:color w:val="FFFFFF" w:themeColor="background1"/>
                <w:sz w:val="22"/>
                <w:szCs w:val="22"/>
              </w:rPr>
              <w:t>Homeownership Unit Inventory</w:t>
            </w:r>
            <w:bookmarkEnd w:id="88"/>
          </w:p>
        </w:tc>
      </w:tr>
      <w:tr w:rsidR="004F23CA" w:rsidRPr="004F23CA" w14:paraId="59B4094E" w14:textId="77777777" w:rsidTr="007C129C">
        <w:trPr>
          <w:trHeight w:val="600"/>
          <w:tblHeader/>
        </w:trPr>
        <w:tc>
          <w:tcPr>
            <w:tcW w:w="5663" w:type="dxa"/>
            <w:tcBorders>
              <w:top w:val="single" w:sz="4" w:space="0" w:color="auto"/>
              <w:left w:val="single" w:sz="4" w:space="0" w:color="auto"/>
              <w:bottom w:val="single" w:sz="4" w:space="0" w:color="auto"/>
              <w:right w:val="single" w:sz="4" w:space="0" w:color="auto"/>
            </w:tcBorders>
            <w:shd w:val="clear" w:color="auto" w:fill="005391"/>
            <w:hideMark/>
          </w:tcPr>
          <w:p w14:paraId="7293A573" w14:textId="77777777" w:rsidR="004F23CA" w:rsidRPr="007F7189" w:rsidRDefault="004F23CA" w:rsidP="004F23CA">
            <w:pPr>
              <w:jc w:val="center"/>
              <w:rPr>
                <w:rFonts w:cs="Arial"/>
                <w:b/>
                <w:bCs/>
                <w:color w:val="FFFFFF" w:themeColor="background1"/>
                <w:sz w:val="22"/>
                <w:szCs w:val="22"/>
              </w:rPr>
            </w:pPr>
            <w:r w:rsidRPr="007F7189">
              <w:rPr>
                <w:rFonts w:cs="Arial"/>
                <w:b/>
                <w:bCs/>
                <w:color w:val="FFFFFF" w:themeColor="background1"/>
                <w:sz w:val="22"/>
                <w:szCs w:val="22"/>
              </w:rPr>
              <w:t>Program</w:t>
            </w:r>
          </w:p>
        </w:tc>
        <w:tc>
          <w:tcPr>
            <w:tcW w:w="1861" w:type="dxa"/>
            <w:tcBorders>
              <w:top w:val="single" w:sz="4" w:space="0" w:color="auto"/>
              <w:left w:val="single" w:sz="4" w:space="0" w:color="auto"/>
              <w:bottom w:val="single" w:sz="4" w:space="0" w:color="auto"/>
              <w:right w:val="single" w:sz="4" w:space="0" w:color="auto"/>
            </w:tcBorders>
            <w:shd w:val="clear" w:color="auto" w:fill="005391"/>
            <w:hideMark/>
          </w:tcPr>
          <w:p w14:paraId="253F2530" w14:textId="77777777" w:rsidR="004F23CA" w:rsidRPr="007F7189" w:rsidRDefault="004F23CA" w:rsidP="004F23CA">
            <w:pPr>
              <w:jc w:val="center"/>
              <w:rPr>
                <w:rFonts w:cs="Arial"/>
                <w:b/>
                <w:bCs/>
                <w:color w:val="FFFFFF" w:themeColor="background1"/>
                <w:sz w:val="22"/>
                <w:szCs w:val="22"/>
              </w:rPr>
            </w:pPr>
            <w:r w:rsidRPr="007F7189">
              <w:rPr>
                <w:rFonts w:cs="Arial"/>
                <w:b/>
                <w:bCs/>
                <w:color w:val="FFFFFF" w:themeColor="background1"/>
                <w:sz w:val="22"/>
                <w:szCs w:val="22"/>
              </w:rPr>
              <w:t>Address</w:t>
            </w:r>
          </w:p>
        </w:tc>
        <w:tc>
          <w:tcPr>
            <w:tcW w:w="1381" w:type="dxa"/>
            <w:tcBorders>
              <w:top w:val="single" w:sz="4" w:space="0" w:color="auto"/>
              <w:left w:val="single" w:sz="4" w:space="0" w:color="auto"/>
              <w:bottom w:val="single" w:sz="4" w:space="0" w:color="auto"/>
              <w:right w:val="single" w:sz="4" w:space="0" w:color="auto"/>
            </w:tcBorders>
            <w:shd w:val="clear" w:color="auto" w:fill="005391"/>
            <w:hideMark/>
          </w:tcPr>
          <w:p w14:paraId="02827862" w14:textId="77777777" w:rsidR="004F23CA" w:rsidRPr="007F7189" w:rsidRDefault="004F23CA" w:rsidP="004F23CA">
            <w:pPr>
              <w:jc w:val="center"/>
              <w:rPr>
                <w:rFonts w:cs="Arial"/>
                <w:b/>
                <w:bCs/>
                <w:color w:val="FFFFFF" w:themeColor="background1"/>
                <w:sz w:val="22"/>
                <w:szCs w:val="22"/>
              </w:rPr>
            </w:pPr>
            <w:r w:rsidRPr="007F7189">
              <w:rPr>
                <w:rFonts w:cs="Arial"/>
                <w:b/>
                <w:bCs/>
                <w:color w:val="FFFFFF" w:themeColor="background1"/>
                <w:sz w:val="22"/>
                <w:szCs w:val="22"/>
              </w:rPr>
              <w:t>Restriction Start Date</w:t>
            </w:r>
          </w:p>
        </w:tc>
        <w:tc>
          <w:tcPr>
            <w:tcW w:w="1516" w:type="dxa"/>
            <w:tcBorders>
              <w:top w:val="single" w:sz="4" w:space="0" w:color="auto"/>
              <w:left w:val="single" w:sz="4" w:space="0" w:color="auto"/>
              <w:bottom w:val="single" w:sz="4" w:space="0" w:color="auto"/>
              <w:right w:val="single" w:sz="4" w:space="0" w:color="auto"/>
            </w:tcBorders>
            <w:shd w:val="clear" w:color="auto" w:fill="005391"/>
            <w:hideMark/>
          </w:tcPr>
          <w:p w14:paraId="62510830" w14:textId="77777777" w:rsidR="004F23CA" w:rsidRPr="007F7189" w:rsidRDefault="004F23CA" w:rsidP="004F23CA">
            <w:pPr>
              <w:jc w:val="center"/>
              <w:rPr>
                <w:rFonts w:cs="Arial"/>
                <w:b/>
                <w:bCs/>
                <w:color w:val="FFFFFF" w:themeColor="background1"/>
                <w:sz w:val="22"/>
                <w:szCs w:val="22"/>
              </w:rPr>
            </w:pPr>
            <w:r w:rsidRPr="007F7189">
              <w:rPr>
                <w:rFonts w:cs="Arial"/>
                <w:b/>
                <w:bCs/>
                <w:color w:val="FFFFFF" w:themeColor="background1"/>
                <w:sz w:val="22"/>
                <w:szCs w:val="22"/>
              </w:rPr>
              <w:t>Restriction End Date</w:t>
            </w:r>
          </w:p>
        </w:tc>
      </w:tr>
      <w:tr w:rsidR="004F23CA" w:rsidRPr="004F23CA" w14:paraId="65BE424A"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D5ED72"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30EC6" w14:textId="77777777" w:rsidR="004F23CA" w:rsidRPr="004F23CA" w:rsidRDefault="004F23CA" w:rsidP="004F23CA">
            <w:pPr>
              <w:rPr>
                <w:rFonts w:cs="Arial"/>
                <w:color w:val="000000"/>
                <w:szCs w:val="20"/>
              </w:rPr>
            </w:pPr>
            <w:r w:rsidRPr="004F23CA">
              <w:rPr>
                <w:rFonts w:cs="Arial"/>
                <w:color w:val="000000"/>
                <w:szCs w:val="20"/>
              </w:rPr>
              <w:t>10 Ruxton</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A8C30" w14:textId="77777777" w:rsidR="004F23CA" w:rsidRPr="004F23CA" w:rsidRDefault="004F23CA" w:rsidP="004F23CA">
            <w:pPr>
              <w:jc w:val="center"/>
              <w:rPr>
                <w:rFonts w:cs="Arial"/>
                <w:color w:val="000000"/>
                <w:szCs w:val="20"/>
              </w:rPr>
            </w:pPr>
            <w:r w:rsidRPr="004F23CA">
              <w:rPr>
                <w:rFonts w:cs="Arial"/>
                <w:color w:val="000000"/>
                <w:szCs w:val="20"/>
              </w:rPr>
              <w:t>12/30/2008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0C124" w14:textId="77777777" w:rsidR="004F23CA" w:rsidRPr="004F23CA" w:rsidRDefault="004F23CA" w:rsidP="004F23CA">
            <w:pPr>
              <w:jc w:val="center"/>
              <w:rPr>
                <w:rFonts w:cs="Arial"/>
                <w:color w:val="000000"/>
                <w:szCs w:val="20"/>
              </w:rPr>
            </w:pPr>
            <w:r w:rsidRPr="004F23CA">
              <w:rPr>
                <w:rFonts w:cs="Arial"/>
                <w:color w:val="000000"/>
                <w:szCs w:val="20"/>
              </w:rPr>
              <w:t>12/29/2028</w:t>
            </w:r>
          </w:p>
        </w:tc>
      </w:tr>
      <w:tr w:rsidR="004F23CA" w:rsidRPr="004F23CA" w14:paraId="46343F8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20446"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6AC0C8"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279D7" w14:textId="77777777" w:rsidR="004F23CA" w:rsidRPr="004F23CA" w:rsidRDefault="004F23CA" w:rsidP="004F23CA">
            <w:pPr>
              <w:jc w:val="center"/>
              <w:rPr>
                <w:rFonts w:cs="Arial"/>
                <w:color w:val="000000"/>
                <w:szCs w:val="20"/>
              </w:rPr>
            </w:pPr>
            <w:r w:rsidRPr="004F23CA">
              <w:rPr>
                <w:rFonts w:cs="Arial"/>
                <w:color w:val="000000"/>
                <w:szCs w:val="20"/>
              </w:rPr>
              <w:t>11/22/2008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92E5B" w14:textId="77777777" w:rsidR="004F23CA" w:rsidRPr="004F23CA" w:rsidRDefault="004F23CA" w:rsidP="004F23CA">
            <w:pPr>
              <w:jc w:val="center"/>
              <w:rPr>
                <w:rFonts w:cs="Arial"/>
                <w:color w:val="000000"/>
                <w:szCs w:val="20"/>
              </w:rPr>
            </w:pPr>
            <w:r w:rsidRPr="004F23CA">
              <w:rPr>
                <w:rFonts w:cs="Arial"/>
                <w:color w:val="000000"/>
                <w:szCs w:val="20"/>
              </w:rPr>
              <w:t>11/21/2038</w:t>
            </w:r>
          </w:p>
        </w:tc>
      </w:tr>
      <w:tr w:rsidR="004F23CA" w:rsidRPr="004F23CA" w14:paraId="7AE6271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73D5E"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A38FB"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8DC5C" w14:textId="77777777" w:rsidR="004F23CA" w:rsidRPr="004F23CA" w:rsidRDefault="004F23CA" w:rsidP="004F23CA">
            <w:pPr>
              <w:jc w:val="center"/>
              <w:rPr>
                <w:rFonts w:cs="Arial"/>
                <w:color w:val="000000"/>
                <w:szCs w:val="20"/>
              </w:rPr>
            </w:pPr>
            <w:r w:rsidRPr="004F23CA">
              <w:rPr>
                <w:rFonts w:cs="Arial"/>
                <w:color w:val="000000"/>
                <w:szCs w:val="20"/>
              </w:rPr>
              <w:t>11/23/2008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A93D5" w14:textId="77777777" w:rsidR="004F23CA" w:rsidRPr="004F23CA" w:rsidRDefault="004F23CA" w:rsidP="004F23CA">
            <w:pPr>
              <w:jc w:val="center"/>
              <w:rPr>
                <w:rFonts w:cs="Arial"/>
                <w:color w:val="000000"/>
                <w:szCs w:val="20"/>
              </w:rPr>
            </w:pPr>
            <w:r w:rsidRPr="004F23CA">
              <w:rPr>
                <w:rFonts w:cs="Arial"/>
                <w:color w:val="000000"/>
                <w:szCs w:val="20"/>
              </w:rPr>
              <w:t>11/22/2038</w:t>
            </w:r>
          </w:p>
        </w:tc>
      </w:tr>
      <w:tr w:rsidR="004F23CA" w:rsidRPr="004F23CA" w14:paraId="3E6ADF9E"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7BACF"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67C6E"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04AA6" w14:textId="77777777" w:rsidR="004F23CA" w:rsidRPr="004F23CA" w:rsidRDefault="004F23CA" w:rsidP="004F23CA">
            <w:pPr>
              <w:jc w:val="center"/>
              <w:rPr>
                <w:rFonts w:cs="Arial"/>
                <w:color w:val="000000"/>
                <w:szCs w:val="20"/>
              </w:rPr>
            </w:pPr>
            <w:r w:rsidRPr="004F23CA">
              <w:rPr>
                <w:rFonts w:cs="Arial"/>
                <w:color w:val="000000"/>
                <w:szCs w:val="20"/>
              </w:rPr>
              <w:t>11/24/2008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C8F1C" w14:textId="77777777" w:rsidR="004F23CA" w:rsidRPr="004F23CA" w:rsidRDefault="004F23CA" w:rsidP="004F23CA">
            <w:pPr>
              <w:jc w:val="center"/>
              <w:rPr>
                <w:rFonts w:cs="Arial"/>
                <w:color w:val="000000"/>
                <w:szCs w:val="20"/>
              </w:rPr>
            </w:pPr>
            <w:r w:rsidRPr="004F23CA">
              <w:rPr>
                <w:rFonts w:cs="Arial"/>
                <w:color w:val="000000"/>
                <w:szCs w:val="20"/>
              </w:rPr>
              <w:t>11/23/2038</w:t>
            </w:r>
          </w:p>
        </w:tc>
      </w:tr>
      <w:tr w:rsidR="004F23CA" w:rsidRPr="004F23CA" w14:paraId="515ABCFC"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17DF4" w14:textId="77777777" w:rsidR="004F23CA" w:rsidRPr="004F23CA" w:rsidRDefault="004F23CA" w:rsidP="004F23CA">
            <w:pPr>
              <w:rPr>
                <w:rFonts w:cs="Arial"/>
                <w:color w:val="000000"/>
                <w:szCs w:val="20"/>
              </w:rPr>
            </w:pPr>
            <w:r w:rsidRPr="004F23CA">
              <w:rPr>
                <w:rFonts w:cs="Arial"/>
                <w:color w:val="000000"/>
                <w:szCs w:val="20"/>
              </w:rPr>
              <w:t>In-Fill Construction FTHB</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19AD0B" w14:textId="77777777" w:rsidR="004F23CA" w:rsidRPr="004F23CA" w:rsidRDefault="004F23CA" w:rsidP="004F23CA">
            <w:pPr>
              <w:rPr>
                <w:rFonts w:cs="Arial"/>
                <w:color w:val="000000"/>
                <w:szCs w:val="20"/>
              </w:rPr>
            </w:pPr>
            <w:r w:rsidRPr="004F23CA">
              <w:rPr>
                <w:rFonts w:cs="Arial"/>
                <w:color w:val="000000"/>
                <w:szCs w:val="20"/>
              </w:rPr>
              <w:t>Gray Street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049B4" w14:textId="77777777" w:rsidR="004F23CA" w:rsidRPr="004F23CA" w:rsidRDefault="004F23CA" w:rsidP="004F23CA">
            <w:pPr>
              <w:jc w:val="center"/>
              <w:rPr>
                <w:rFonts w:cs="Arial"/>
                <w:color w:val="000000"/>
                <w:szCs w:val="20"/>
              </w:rPr>
            </w:pPr>
            <w:r w:rsidRPr="004F23CA">
              <w:rPr>
                <w:rFonts w:cs="Arial"/>
                <w:color w:val="000000"/>
                <w:szCs w:val="20"/>
              </w:rPr>
              <w:t>11/25/2008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83589" w14:textId="77777777" w:rsidR="004F23CA" w:rsidRPr="004F23CA" w:rsidRDefault="004F23CA" w:rsidP="004F23CA">
            <w:pPr>
              <w:jc w:val="center"/>
              <w:rPr>
                <w:rFonts w:cs="Arial"/>
                <w:color w:val="000000"/>
                <w:szCs w:val="20"/>
              </w:rPr>
            </w:pPr>
            <w:r w:rsidRPr="004F23CA">
              <w:rPr>
                <w:rFonts w:cs="Arial"/>
                <w:color w:val="000000"/>
                <w:szCs w:val="20"/>
              </w:rPr>
              <w:t>11/24/2038</w:t>
            </w:r>
          </w:p>
        </w:tc>
      </w:tr>
      <w:tr w:rsidR="004F23CA" w:rsidRPr="004F23CA" w14:paraId="72F3E5DC"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DEE6" w14:textId="77777777" w:rsidR="004F23CA" w:rsidRPr="004F23CA" w:rsidRDefault="004F23CA" w:rsidP="004F23CA">
            <w:pPr>
              <w:rPr>
                <w:rFonts w:cs="Arial"/>
                <w:color w:val="000000"/>
                <w:szCs w:val="20"/>
              </w:rPr>
            </w:pPr>
            <w:r w:rsidRPr="004F23CA">
              <w:rPr>
                <w:rFonts w:cs="Arial"/>
                <w:color w:val="000000"/>
                <w:szCs w:val="20"/>
              </w:rPr>
              <w:t>In-Fill Construction FTHB</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3DEBF" w14:textId="77777777" w:rsidR="004F23CA" w:rsidRPr="004F23CA" w:rsidRDefault="004F23CA" w:rsidP="004F23CA">
            <w:pPr>
              <w:rPr>
                <w:rFonts w:cs="Arial"/>
                <w:color w:val="000000"/>
                <w:szCs w:val="20"/>
              </w:rPr>
            </w:pPr>
            <w:r w:rsidRPr="004F23CA">
              <w:rPr>
                <w:rFonts w:cs="Arial"/>
                <w:color w:val="000000"/>
                <w:szCs w:val="20"/>
              </w:rPr>
              <w:t>Florence Ave.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4F9EA" w14:textId="77777777" w:rsidR="004F23CA" w:rsidRPr="004F23CA" w:rsidRDefault="004F23CA" w:rsidP="004F23CA">
            <w:pPr>
              <w:jc w:val="center"/>
              <w:rPr>
                <w:rFonts w:cs="Arial"/>
                <w:color w:val="000000"/>
                <w:szCs w:val="20"/>
              </w:rPr>
            </w:pPr>
            <w:r w:rsidRPr="004F23CA">
              <w:rPr>
                <w:rFonts w:cs="Arial"/>
                <w:color w:val="000000"/>
                <w:szCs w:val="20"/>
              </w:rPr>
              <w:t>11/26/2008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44625" w14:textId="77777777" w:rsidR="004F23CA" w:rsidRPr="004F23CA" w:rsidRDefault="004F23CA" w:rsidP="004F23CA">
            <w:pPr>
              <w:jc w:val="center"/>
              <w:rPr>
                <w:rFonts w:cs="Arial"/>
                <w:color w:val="000000"/>
                <w:szCs w:val="20"/>
              </w:rPr>
            </w:pPr>
            <w:r w:rsidRPr="004F23CA">
              <w:rPr>
                <w:rFonts w:cs="Arial"/>
                <w:color w:val="000000"/>
                <w:szCs w:val="20"/>
              </w:rPr>
              <w:t>11/25/2038</w:t>
            </w:r>
          </w:p>
        </w:tc>
      </w:tr>
      <w:tr w:rsidR="004F23CA" w:rsidRPr="004F23CA" w14:paraId="64DE9F9A"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622C2" w14:textId="77777777" w:rsidR="004F23CA" w:rsidRPr="004F23CA" w:rsidRDefault="004F23CA" w:rsidP="004F23CA">
            <w:pPr>
              <w:rPr>
                <w:rFonts w:cs="Arial"/>
                <w:color w:val="000000"/>
                <w:szCs w:val="20"/>
              </w:rPr>
            </w:pPr>
            <w:r w:rsidRPr="004F23CA">
              <w:rPr>
                <w:rFonts w:cs="Arial"/>
                <w:color w:val="000000"/>
                <w:szCs w:val="20"/>
              </w:rPr>
              <w:t>In-Fill Construction FTHB</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02D70" w14:textId="77777777" w:rsidR="004F23CA" w:rsidRPr="004F23CA" w:rsidRDefault="004F23CA" w:rsidP="004F23CA">
            <w:pPr>
              <w:rPr>
                <w:rFonts w:cs="Arial"/>
                <w:color w:val="000000"/>
                <w:szCs w:val="20"/>
              </w:rPr>
            </w:pPr>
            <w:r w:rsidRPr="004F23CA">
              <w:rPr>
                <w:rFonts w:cs="Arial"/>
                <w:color w:val="000000"/>
                <w:szCs w:val="20"/>
              </w:rPr>
              <w:t>Pine St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C0E09" w14:textId="77777777" w:rsidR="004F23CA" w:rsidRPr="004F23CA" w:rsidRDefault="004F23CA" w:rsidP="004F23CA">
            <w:pPr>
              <w:jc w:val="center"/>
              <w:rPr>
                <w:rFonts w:cs="Arial"/>
                <w:color w:val="000000"/>
                <w:szCs w:val="20"/>
              </w:rPr>
            </w:pPr>
            <w:r w:rsidRPr="004F23CA">
              <w:rPr>
                <w:rFonts w:cs="Arial"/>
                <w:color w:val="000000"/>
                <w:szCs w:val="20"/>
              </w:rPr>
              <w:t>11/27/2008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33BEC" w14:textId="77777777" w:rsidR="004F23CA" w:rsidRPr="004F23CA" w:rsidRDefault="004F23CA" w:rsidP="004F23CA">
            <w:pPr>
              <w:jc w:val="center"/>
              <w:rPr>
                <w:rFonts w:cs="Arial"/>
                <w:color w:val="000000"/>
                <w:szCs w:val="20"/>
              </w:rPr>
            </w:pPr>
            <w:r w:rsidRPr="004F23CA">
              <w:rPr>
                <w:rFonts w:cs="Arial"/>
                <w:color w:val="000000"/>
                <w:szCs w:val="20"/>
              </w:rPr>
              <w:t>11/26/2038</w:t>
            </w:r>
          </w:p>
        </w:tc>
      </w:tr>
      <w:tr w:rsidR="004F23CA" w:rsidRPr="004F23CA" w14:paraId="7F93DC4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DD31A"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86577"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9319D" w14:textId="77777777" w:rsidR="004F23CA" w:rsidRPr="004F23CA" w:rsidRDefault="004F23CA" w:rsidP="004F23CA">
            <w:pPr>
              <w:jc w:val="center"/>
              <w:rPr>
                <w:rFonts w:cs="Arial"/>
                <w:color w:val="000000"/>
                <w:szCs w:val="20"/>
              </w:rPr>
            </w:pPr>
            <w:r w:rsidRPr="004F23CA">
              <w:rPr>
                <w:rFonts w:cs="Arial"/>
                <w:color w:val="000000"/>
                <w:szCs w:val="20"/>
              </w:rPr>
              <w:t>11/28/2008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13466" w14:textId="77777777" w:rsidR="004F23CA" w:rsidRPr="004F23CA" w:rsidRDefault="004F23CA" w:rsidP="004F23CA">
            <w:pPr>
              <w:jc w:val="center"/>
              <w:rPr>
                <w:rFonts w:cs="Arial"/>
                <w:color w:val="000000"/>
                <w:szCs w:val="20"/>
              </w:rPr>
            </w:pPr>
            <w:r w:rsidRPr="004F23CA">
              <w:rPr>
                <w:rFonts w:cs="Arial"/>
                <w:color w:val="000000"/>
                <w:szCs w:val="20"/>
              </w:rPr>
              <w:t>11/27/2038</w:t>
            </w:r>
          </w:p>
        </w:tc>
      </w:tr>
      <w:tr w:rsidR="004F23CA" w:rsidRPr="004F23CA" w14:paraId="1B1E1D73"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BA73"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EABF6"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7E293" w14:textId="77777777" w:rsidR="004F23CA" w:rsidRPr="004F23CA" w:rsidRDefault="004F23CA" w:rsidP="004F23CA">
            <w:pPr>
              <w:jc w:val="center"/>
              <w:rPr>
                <w:rFonts w:cs="Arial"/>
                <w:color w:val="000000"/>
                <w:szCs w:val="20"/>
              </w:rPr>
            </w:pPr>
            <w:r w:rsidRPr="004F23CA">
              <w:rPr>
                <w:rFonts w:cs="Arial"/>
                <w:color w:val="000000"/>
                <w:szCs w:val="20"/>
              </w:rPr>
              <w:t>11/29/2008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BCB96" w14:textId="77777777" w:rsidR="004F23CA" w:rsidRPr="004F23CA" w:rsidRDefault="004F23CA" w:rsidP="004F23CA">
            <w:pPr>
              <w:jc w:val="center"/>
              <w:rPr>
                <w:rFonts w:cs="Arial"/>
                <w:color w:val="000000"/>
                <w:szCs w:val="20"/>
              </w:rPr>
            </w:pPr>
            <w:r w:rsidRPr="004F23CA">
              <w:rPr>
                <w:rFonts w:cs="Arial"/>
                <w:color w:val="000000"/>
                <w:szCs w:val="20"/>
              </w:rPr>
              <w:t>11/28/2038</w:t>
            </w:r>
          </w:p>
        </w:tc>
      </w:tr>
      <w:tr w:rsidR="004F23CA" w:rsidRPr="004F23CA" w14:paraId="75198F1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8417"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452DB"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B4FA3" w14:textId="77777777" w:rsidR="004F23CA" w:rsidRPr="004F23CA" w:rsidRDefault="004F23CA" w:rsidP="004F23CA">
            <w:pPr>
              <w:jc w:val="center"/>
              <w:rPr>
                <w:rFonts w:cs="Arial"/>
                <w:color w:val="000000"/>
                <w:szCs w:val="20"/>
              </w:rPr>
            </w:pPr>
            <w:r w:rsidRPr="004F23CA">
              <w:rPr>
                <w:rFonts w:cs="Arial"/>
                <w:color w:val="000000"/>
                <w:szCs w:val="20"/>
              </w:rPr>
              <w:t>11/30/2008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ADCE8" w14:textId="77777777" w:rsidR="004F23CA" w:rsidRPr="004F23CA" w:rsidRDefault="004F23CA" w:rsidP="004F23CA">
            <w:pPr>
              <w:jc w:val="center"/>
              <w:rPr>
                <w:rFonts w:cs="Arial"/>
                <w:color w:val="000000"/>
                <w:szCs w:val="20"/>
              </w:rPr>
            </w:pPr>
            <w:r w:rsidRPr="004F23CA">
              <w:rPr>
                <w:rFonts w:cs="Arial"/>
                <w:color w:val="000000"/>
                <w:szCs w:val="20"/>
              </w:rPr>
              <w:t>11/29/2038</w:t>
            </w:r>
          </w:p>
        </w:tc>
      </w:tr>
      <w:tr w:rsidR="004F23CA" w:rsidRPr="004F23CA" w14:paraId="6025416B"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25065"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32F00"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ED3AA" w14:textId="77777777" w:rsidR="004F23CA" w:rsidRPr="004F23CA" w:rsidRDefault="004F23CA" w:rsidP="004F23CA">
            <w:pPr>
              <w:jc w:val="center"/>
              <w:rPr>
                <w:rFonts w:cs="Arial"/>
                <w:color w:val="000000"/>
                <w:szCs w:val="20"/>
              </w:rPr>
            </w:pPr>
            <w:r w:rsidRPr="004F23CA">
              <w:rPr>
                <w:rFonts w:cs="Arial"/>
                <w:color w:val="000000"/>
                <w:szCs w:val="20"/>
              </w:rPr>
              <w:t>12/1/2008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AF13A" w14:textId="77777777" w:rsidR="004F23CA" w:rsidRPr="004F23CA" w:rsidRDefault="004F23CA" w:rsidP="004F23CA">
            <w:pPr>
              <w:jc w:val="center"/>
              <w:rPr>
                <w:rFonts w:cs="Arial"/>
                <w:color w:val="000000"/>
                <w:szCs w:val="20"/>
              </w:rPr>
            </w:pPr>
            <w:r w:rsidRPr="004F23CA">
              <w:rPr>
                <w:rFonts w:cs="Arial"/>
                <w:color w:val="000000"/>
                <w:szCs w:val="20"/>
              </w:rPr>
              <w:t>11/30/2038</w:t>
            </w:r>
          </w:p>
        </w:tc>
      </w:tr>
      <w:tr w:rsidR="004F23CA" w:rsidRPr="004F23CA" w14:paraId="3A8DD54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8FBF"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65F1D"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BB55F" w14:textId="77777777" w:rsidR="004F23CA" w:rsidRPr="004F23CA" w:rsidRDefault="004F23CA" w:rsidP="004F23CA">
            <w:pPr>
              <w:jc w:val="center"/>
              <w:rPr>
                <w:rFonts w:cs="Arial"/>
                <w:color w:val="000000"/>
                <w:szCs w:val="20"/>
              </w:rPr>
            </w:pPr>
            <w:r w:rsidRPr="004F23CA">
              <w:rPr>
                <w:rFonts w:cs="Arial"/>
                <w:color w:val="000000"/>
                <w:szCs w:val="20"/>
              </w:rPr>
              <w:t>12/2/2008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9F58C" w14:textId="77777777" w:rsidR="004F23CA" w:rsidRPr="004F23CA" w:rsidRDefault="004F23CA" w:rsidP="004F23CA">
            <w:pPr>
              <w:jc w:val="center"/>
              <w:rPr>
                <w:rFonts w:cs="Arial"/>
                <w:color w:val="000000"/>
                <w:szCs w:val="20"/>
              </w:rPr>
            </w:pPr>
            <w:r w:rsidRPr="004F23CA">
              <w:rPr>
                <w:rFonts w:cs="Arial"/>
                <w:color w:val="000000"/>
                <w:szCs w:val="20"/>
              </w:rPr>
              <w:t>12/1/2038</w:t>
            </w:r>
          </w:p>
        </w:tc>
      </w:tr>
      <w:tr w:rsidR="004F23CA" w:rsidRPr="004F23CA" w14:paraId="2A25182C"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AC679"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D0212"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55EF5" w14:textId="77777777" w:rsidR="004F23CA" w:rsidRPr="004F23CA" w:rsidRDefault="004F23CA" w:rsidP="004F23CA">
            <w:pPr>
              <w:jc w:val="center"/>
              <w:rPr>
                <w:rFonts w:cs="Arial"/>
                <w:color w:val="000000"/>
                <w:szCs w:val="20"/>
              </w:rPr>
            </w:pPr>
            <w:r w:rsidRPr="004F23CA">
              <w:rPr>
                <w:rFonts w:cs="Arial"/>
                <w:color w:val="000000"/>
                <w:szCs w:val="20"/>
              </w:rPr>
              <w:t>12/3/2008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89E7E" w14:textId="77777777" w:rsidR="004F23CA" w:rsidRPr="004F23CA" w:rsidRDefault="004F23CA" w:rsidP="004F23CA">
            <w:pPr>
              <w:jc w:val="center"/>
              <w:rPr>
                <w:rFonts w:cs="Arial"/>
                <w:color w:val="000000"/>
                <w:szCs w:val="20"/>
              </w:rPr>
            </w:pPr>
            <w:r w:rsidRPr="004F23CA">
              <w:rPr>
                <w:rFonts w:cs="Arial"/>
                <w:color w:val="000000"/>
                <w:szCs w:val="20"/>
              </w:rPr>
              <w:t>12/2/2038</w:t>
            </w:r>
          </w:p>
        </w:tc>
      </w:tr>
      <w:tr w:rsidR="004F23CA" w:rsidRPr="004F23CA" w14:paraId="2812DB0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2600"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7BBE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11232" w14:textId="77777777" w:rsidR="004F23CA" w:rsidRPr="004F23CA" w:rsidRDefault="004F23CA" w:rsidP="004F23CA">
            <w:pPr>
              <w:jc w:val="center"/>
              <w:rPr>
                <w:rFonts w:cs="Arial"/>
                <w:color w:val="000000"/>
                <w:szCs w:val="20"/>
              </w:rPr>
            </w:pPr>
            <w:r w:rsidRPr="004F23CA">
              <w:rPr>
                <w:rFonts w:cs="Arial"/>
                <w:color w:val="000000"/>
                <w:szCs w:val="20"/>
              </w:rPr>
              <w:t>12/4/2008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23CA40" w14:textId="77777777" w:rsidR="004F23CA" w:rsidRPr="004F23CA" w:rsidRDefault="004F23CA" w:rsidP="004F23CA">
            <w:pPr>
              <w:jc w:val="center"/>
              <w:rPr>
                <w:rFonts w:cs="Arial"/>
                <w:color w:val="000000"/>
                <w:szCs w:val="20"/>
              </w:rPr>
            </w:pPr>
            <w:r w:rsidRPr="004F23CA">
              <w:rPr>
                <w:rFonts w:cs="Arial"/>
                <w:color w:val="000000"/>
                <w:szCs w:val="20"/>
              </w:rPr>
              <w:t>12/3/2038</w:t>
            </w:r>
          </w:p>
        </w:tc>
      </w:tr>
      <w:tr w:rsidR="004F23CA" w:rsidRPr="004F23CA" w14:paraId="1B68D0C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99D64"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7FD37"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9F26F" w14:textId="77777777" w:rsidR="004F23CA" w:rsidRPr="004F23CA" w:rsidRDefault="004F23CA" w:rsidP="004F23CA">
            <w:pPr>
              <w:jc w:val="center"/>
              <w:rPr>
                <w:rFonts w:cs="Arial"/>
                <w:color w:val="000000"/>
                <w:szCs w:val="20"/>
              </w:rPr>
            </w:pPr>
            <w:r w:rsidRPr="004F23CA">
              <w:rPr>
                <w:rFonts w:cs="Arial"/>
                <w:color w:val="000000"/>
                <w:szCs w:val="20"/>
              </w:rPr>
              <w:t>12/5/2008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662CB" w14:textId="77777777" w:rsidR="004F23CA" w:rsidRPr="004F23CA" w:rsidRDefault="004F23CA" w:rsidP="004F23CA">
            <w:pPr>
              <w:jc w:val="center"/>
              <w:rPr>
                <w:rFonts w:cs="Arial"/>
                <w:color w:val="000000"/>
                <w:szCs w:val="20"/>
              </w:rPr>
            </w:pPr>
            <w:r w:rsidRPr="004F23CA">
              <w:rPr>
                <w:rFonts w:cs="Arial"/>
                <w:color w:val="000000"/>
                <w:szCs w:val="20"/>
              </w:rPr>
              <w:t>12/4/2038</w:t>
            </w:r>
          </w:p>
        </w:tc>
      </w:tr>
      <w:tr w:rsidR="004F23CA" w:rsidRPr="004F23CA" w14:paraId="50815B65"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28C6"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1F14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2C163" w14:textId="77777777" w:rsidR="004F23CA" w:rsidRPr="004F23CA" w:rsidRDefault="004F23CA" w:rsidP="004F23CA">
            <w:pPr>
              <w:jc w:val="center"/>
              <w:rPr>
                <w:rFonts w:cs="Arial"/>
                <w:color w:val="000000"/>
                <w:szCs w:val="20"/>
              </w:rPr>
            </w:pPr>
            <w:r w:rsidRPr="004F23CA">
              <w:rPr>
                <w:rFonts w:cs="Arial"/>
                <w:color w:val="000000"/>
                <w:szCs w:val="20"/>
              </w:rPr>
              <w:t>12/6/2008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19F19" w14:textId="77777777" w:rsidR="004F23CA" w:rsidRPr="004F23CA" w:rsidRDefault="004F23CA" w:rsidP="004F23CA">
            <w:pPr>
              <w:jc w:val="center"/>
              <w:rPr>
                <w:rFonts w:cs="Arial"/>
                <w:color w:val="000000"/>
                <w:szCs w:val="20"/>
              </w:rPr>
            </w:pPr>
            <w:r w:rsidRPr="004F23CA">
              <w:rPr>
                <w:rFonts w:cs="Arial"/>
                <w:color w:val="000000"/>
                <w:szCs w:val="20"/>
              </w:rPr>
              <w:t>12/5/2038</w:t>
            </w:r>
          </w:p>
        </w:tc>
      </w:tr>
      <w:tr w:rsidR="004F23CA" w:rsidRPr="004F23CA" w14:paraId="503B8A25"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C1F51"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A0FF0"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235CB" w14:textId="77777777" w:rsidR="004F23CA" w:rsidRPr="004F23CA" w:rsidRDefault="004F23CA" w:rsidP="004F23CA">
            <w:pPr>
              <w:jc w:val="center"/>
              <w:rPr>
                <w:rFonts w:cs="Arial"/>
                <w:color w:val="000000"/>
                <w:szCs w:val="20"/>
              </w:rPr>
            </w:pPr>
            <w:r w:rsidRPr="004F23CA">
              <w:rPr>
                <w:rFonts w:cs="Arial"/>
                <w:color w:val="000000"/>
                <w:szCs w:val="20"/>
              </w:rPr>
              <w:t>12/7/2008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66AC9" w14:textId="77777777" w:rsidR="004F23CA" w:rsidRPr="004F23CA" w:rsidRDefault="004F23CA" w:rsidP="004F23CA">
            <w:pPr>
              <w:jc w:val="center"/>
              <w:rPr>
                <w:rFonts w:cs="Arial"/>
                <w:color w:val="000000"/>
                <w:szCs w:val="20"/>
              </w:rPr>
            </w:pPr>
            <w:r w:rsidRPr="004F23CA">
              <w:rPr>
                <w:rFonts w:cs="Arial"/>
                <w:color w:val="000000"/>
                <w:szCs w:val="20"/>
              </w:rPr>
              <w:t>12/6/2038</w:t>
            </w:r>
          </w:p>
        </w:tc>
      </w:tr>
      <w:tr w:rsidR="004F23CA" w:rsidRPr="004F23CA" w14:paraId="61AB9397"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F8137"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CD14E"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66B44" w14:textId="77777777" w:rsidR="004F23CA" w:rsidRPr="004F23CA" w:rsidRDefault="004F23CA" w:rsidP="004F23CA">
            <w:pPr>
              <w:jc w:val="center"/>
              <w:rPr>
                <w:rFonts w:cs="Arial"/>
                <w:color w:val="000000"/>
                <w:szCs w:val="20"/>
              </w:rPr>
            </w:pPr>
            <w:r w:rsidRPr="004F23CA">
              <w:rPr>
                <w:rFonts w:cs="Arial"/>
                <w:color w:val="000000"/>
                <w:szCs w:val="20"/>
              </w:rPr>
              <w:t>12/8/2008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DBF95" w14:textId="77777777" w:rsidR="004F23CA" w:rsidRPr="004F23CA" w:rsidRDefault="004F23CA" w:rsidP="004F23CA">
            <w:pPr>
              <w:jc w:val="center"/>
              <w:rPr>
                <w:rFonts w:cs="Arial"/>
                <w:color w:val="000000"/>
                <w:szCs w:val="20"/>
              </w:rPr>
            </w:pPr>
            <w:r w:rsidRPr="004F23CA">
              <w:rPr>
                <w:rFonts w:cs="Arial"/>
                <w:color w:val="000000"/>
                <w:szCs w:val="20"/>
              </w:rPr>
              <w:t>12/7/2038</w:t>
            </w:r>
          </w:p>
        </w:tc>
      </w:tr>
      <w:tr w:rsidR="004F23CA" w:rsidRPr="004F23CA" w14:paraId="2E327053"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E73E"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8F1C4"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FC78A" w14:textId="77777777" w:rsidR="004F23CA" w:rsidRPr="004F23CA" w:rsidRDefault="004F23CA" w:rsidP="004F23CA">
            <w:pPr>
              <w:jc w:val="center"/>
              <w:rPr>
                <w:rFonts w:cs="Arial"/>
                <w:color w:val="000000"/>
                <w:szCs w:val="20"/>
              </w:rPr>
            </w:pPr>
            <w:r w:rsidRPr="004F23CA">
              <w:rPr>
                <w:rFonts w:cs="Arial"/>
                <w:color w:val="000000"/>
                <w:szCs w:val="20"/>
              </w:rPr>
              <w:t>12/9/2008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6E315" w14:textId="77777777" w:rsidR="004F23CA" w:rsidRPr="004F23CA" w:rsidRDefault="004F23CA" w:rsidP="004F23CA">
            <w:pPr>
              <w:jc w:val="center"/>
              <w:rPr>
                <w:rFonts w:cs="Arial"/>
                <w:color w:val="000000"/>
                <w:szCs w:val="20"/>
              </w:rPr>
            </w:pPr>
            <w:r w:rsidRPr="004F23CA">
              <w:rPr>
                <w:rFonts w:cs="Arial"/>
                <w:color w:val="000000"/>
                <w:szCs w:val="20"/>
              </w:rPr>
              <w:t>12/8/2038</w:t>
            </w:r>
          </w:p>
        </w:tc>
      </w:tr>
      <w:tr w:rsidR="004F23CA" w:rsidRPr="004F23CA" w14:paraId="7DE253C4"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BF5DE"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43E0F"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2D9B51" w14:textId="77777777" w:rsidR="004F23CA" w:rsidRPr="004F23CA" w:rsidRDefault="004F23CA" w:rsidP="004F23CA">
            <w:pPr>
              <w:jc w:val="center"/>
              <w:rPr>
                <w:rFonts w:cs="Arial"/>
                <w:color w:val="000000"/>
                <w:szCs w:val="20"/>
              </w:rPr>
            </w:pPr>
            <w:r w:rsidRPr="004F23CA">
              <w:rPr>
                <w:rFonts w:cs="Arial"/>
                <w:color w:val="000000"/>
                <w:szCs w:val="20"/>
              </w:rPr>
              <w:t>12/10/2008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C5269" w14:textId="77777777" w:rsidR="004F23CA" w:rsidRPr="004F23CA" w:rsidRDefault="004F23CA" w:rsidP="004F23CA">
            <w:pPr>
              <w:jc w:val="center"/>
              <w:rPr>
                <w:rFonts w:cs="Arial"/>
                <w:color w:val="000000"/>
                <w:szCs w:val="20"/>
              </w:rPr>
            </w:pPr>
            <w:r w:rsidRPr="004F23CA">
              <w:rPr>
                <w:rFonts w:cs="Arial"/>
                <w:color w:val="000000"/>
                <w:szCs w:val="20"/>
              </w:rPr>
              <w:t>12/9/2038</w:t>
            </w:r>
          </w:p>
        </w:tc>
      </w:tr>
      <w:tr w:rsidR="004F23CA" w:rsidRPr="004F23CA" w14:paraId="382A01CC"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8D4C"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D89A2"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5CA6A" w14:textId="77777777" w:rsidR="004F23CA" w:rsidRPr="004F23CA" w:rsidRDefault="004F23CA" w:rsidP="004F23CA">
            <w:pPr>
              <w:jc w:val="center"/>
              <w:rPr>
                <w:rFonts w:cs="Arial"/>
                <w:color w:val="000000"/>
                <w:szCs w:val="20"/>
              </w:rPr>
            </w:pPr>
            <w:r w:rsidRPr="004F23CA">
              <w:rPr>
                <w:rFonts w:cs="Arial"/>
                <w:color w:val="000000"/>
                <w:szCs w:val="20"/>
              </w:rPr>
              <w:t>12/11/2008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3380C" w14:textId="77777777" w:rsidR="004F23CA" w:rsidRPr="004F23CA" w:rsidRDefault="004F23CA" w:rsidP="004F23CA">
            <w:pPr>
              <w:jc w:val="center"/>
              <w:rPr>
                <w:rFonts w:cs="Arial"/>
                <w:color w:val="000000"/>
                <w:szCs w:val="20"/>
              </w:rPr>
            </w:pPr>
            <w:r w:rsidRPr="004F23CA">
              <w:rPr>
                <w:rFonts w:cs="Arial"/>
                <w:color w:val="000000"/>
                <w:szCs w:val="20"/>
              </w:rPr>
              <w:t>12/10/2038</w:t>
            </w:r>
          </w:p>
        </w:tc>
      </w:tr>
      <w:tr w:rsidR="004F23CA" w:rsidRPr="004F23CA" w14:paraId="7FC049BA"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3B5FE"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9A4AB"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F1454" w14:textId="77777777" w:rsidR="004F23CA" w:rsidRPr="004F23CA" w:rsidRDefault="004F23CA" w:rsidP="004F23CA">
            <w:pPr>
              <w:jc w:val="center"/>
              <w:rPr>
                <w:rFonts w:cs="Arial"/>
                <w:color w:val="000000"/>
                <w:szCs w:val="20"/>
              </w:rPr>
            </w:pPr>
            <w:r w:rsidRPr="004F23CA">
              <w:rPr>
                <w:rFonts w:cs="Arial"/>
                <w:color w:val="000000"/>
                <w:szCs w:val="20"/>
              </w:rPr>
              <w:t>12/12/2008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BBD0C" w14:textId="77777777" w:rsidR="004F23CA" w:rsidRPr="004F23CA" w:rsidRDefault="004F23CA" w:rsidP="004F23CA">
            <w:pPr>
              <w:jc w:val="center"/>
              <w:rPr>
                <w:rFonts w:cs="Arial"/>
                <w:color w:val="000000"/>
                <w:szCs w:val="20"/>
              </w:rPr>
            </w:pPr>
            <w:r w:rsidRPr="004F23CA">
              <w:rPr>
                <w:rFonts w:cs="Arial"/>
                <w:color w:val="000000"/>
                <w:szCs w:val="20"/>
              </w:rPr>
              <w:t>12/11/2038</w:t>
            </w:r>
          </w:p>
        </w:tc>
      </w:tr>
      <w:tr w:rsidR="004F23CA" w:rsidRPr="004F23CA" w14:paraId="025BF74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952A5"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430F9"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7A0AA" w14:textId="77777777" w:rsidR="004F23CA" w:rsidRPr="004F23CA" w:rsidRDefault="004F23CA" w:rsidP="004F23CA">
            <w:pPr>
              <w:jc w:val="center"/>
              <w:rPr>
                <w:rFonts w:cs="Arial"/>
                <w:color w:val="000000"/>
                <w:szCs w:val="20"/>
              </w:rPr>
            </w:pPr>
            <w:r w:rsidRPr="004F23CA">
              <w:rPr>
                <w:rFonts w:cs="Arial"/>
                <w:color w:val="000000"/>
                <w:szCs w:val="20"/>
              </w:rPr>
              <w:t>12/13/2008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B7C4A" w14:textId="77777777" w:rsidR="004F23CA" w:rsidRPr="004F23CA" w:rsidRDefault="004F23CA" w:rsidP="004F23CA">
            <w:pPr>
              <w:jc w:val="center"/>
              <w:rPr>
                <w:rFonts w:cs="Arial"/>
                <w:color w:val="000000"/>
                <w:szCs w:val="20"/>
              </w:rPr>
            </w:pPr>
            <w:r w:rsidRPr="004F23CA">
              <w:rPr>
                <w:rFonts w:cs="Arial"/>
                <w:color w:val="000000"/>
                <w:szCs w:val="20"/>
              </w:rPr>
              <w:t>12/12/2038</w:t>
            </w:r>
          </w:p>
        </w:tc>
      </w:tr>
      <w:tr w:rsidR="004F23CA" w:rsidRPr="004F23CA" w14:paraId="7222B08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94052"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55D1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1EB6A" w14:textId="77777777" w:rsidR="004F23CA" w:rsidRPr="004F23CA" w:rsidRDefault="004F23CA" w:rsidP="004F23CA">
            <w:pPr>
              <w:jc w:val="center"/>
              <w:rPr>
                <w:rFonts w:cs="Arial"/>
                <w:color w:val="000000"/>
                <w:szCs w:val="20"/>
              </w:rPr>
            </w:pPr>
            <w:r w:rsidRPr="004F23CA">
              <w:rPr>
                <w:rFonts w:cs="Arial"/>
                <w:color w:val="000000"/>
                <w:szCs w:val="20"/>
              </w:rPr>
              <w:t>12/14/2008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11F17" w14:textId="77777777" w:rsidR="004F23CA" w:rsidRPr="004F23CA" w:rsidRDefault="004F23CA" w:rsidP="004F23CA">
            <w:pPr>
              <w:jc w:val="center"/>
              <w:rPr>
                <w:rFonts w:cs="Arial"/>
                <w:color w:val="000000"/>
                <w:szCs w:val="20"/>
              </w:rPr>
            </w:pPr>
            <w:r w:rsidRPr="004F23CA">
              <w:rPr>
                <w:rFonts w:cs="Arial"/>
                <w:color w:val="000000"/>
                <w:szCs w:val="20"/>
              </w:rPr>
              <w:t>12/13/2038</w:t>
            </w:r>
          </w:p>
        </w:tc>
      </w:tr>
      <w:tr w:rsidR="004F23CA" w:rsidRPr="004F23CA" w14:paraId="4B939B9B"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6949"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2F68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961AE" w14:textId="77777777" w:rsidR="004F23CA" w:rsidRPr="004F23CA" w:rsidRDefault="004F23CA" w:rsidP="004F23CA">
            <w:pPr>
              <w:jc w:val="center"/>
              <w:rPr>
                <w:rFonts w:cs="Arial"/>
                <w:color w:val="000000"/>
                <w:szCs w:val="20"/>
              </w:rPr>
            </w:pPr>
            <w:r w:rsidRPr="004F23CA">
              <w:rPr>
                <w:rFonts w:cs="Arial"/>
                <w:color w:val="000000"/>
                <w:szCs w:val="20"/>
              </w:rPr>
              <w:t>12/15/2008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451DC3" w14:textId="77777777" w:rsidR="004F23CA" w:rsidRPr="004F23CA" w:rsidRDefault="004F23CA" w:rsidP="004F23CA">
            <w:pPr>
              <w:jc w:val="center"/>
              <w:rPr>
                <w:rFonts w:cs="Arial"/>
                <w:color w:val="000000"/>
                <w:szCs w:val="20"/>
              </w:rPr>
            </w:pPr>
            <w:r w:rsidRPr="004F23CA">
              <w:rPr>
                <w:rFonts w:cs="Arial"/>
                <w:color w:val="000000"/>
                <w:szCs w:val="20"/>
              </w:rPr>
              <w:t>12/14/2038</w:t>
            </w:r>
          </w:p>
        </w:tc>
      </w:tr>
      <w:tr w:rsidR="004F23CA" w:rsidRPr="004F23CA" w14:paraId="71349A2E"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55402"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4D49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CE5CC" w14:textId="77777777" w:rsidR="004F23CA" w:rsidRPr="004F23CA" w:rsidRDefault="004F23CA" w:rsidP="004F23CA">
            <w:pPr>
              <w:jc w:val="center"/>
              <w:rPr>
                <w:rFonts w:cs="Arial"/>
                <w:color w:val="000000"/>
                <w:szCs w:val="20"/>
              </w:rPr>
            </w:pPr>
            <w:r w:rsidRPr="004F23CA">
              <w:rPr>
                <w:rFonts w:cs="Arial"/>
                <w:color w:val="000000"/>
                <w:szCs w:val="20"/>
              </w:rPr>
              <w:t>12/16/2008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89262" w14:textId="77777777" w:rsidR="004F23CA" w:rsidRPr="004F23CA" w:rsidRDefault="004F23CA" w:rsidP="004F23CA">
            <w:pPr>
              <w:jc w:val="center"/>
              <w:rPr>
                <w:rFonts w:cs="Arial"/>
                <w:color w:val="000000"/>
                <w:szCs w:val="20"/>
              </w:rPr>
            </w:pPr>
            <w:r w:rsidRPr="004F23CA">
              <w:rPr>
                <w:rFonts w:cs="Arial"/>
                <w:color w:val="000000"/>
                <w:szCs w:val="20"/>
              </w:rPr>
              <w:t>12/15/2038</w:t>
            </w:r>
          </w:p>
        </w:tc>
      </w:tr>
      <w:tr w:rsidR="004F23CA" w:rsidRPr="004F23CA" w14:paraId="2310F633"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DC16"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6F7C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B970F" w14:textId="77777777" w:rsidR="004F23CA" w:rsidRPr="004F23CA" w:rsidRDefault="004F23CA" w:rsidP="004F23CA">
            <w:pPr>
              <w:jc w:val="center"/>
              <w:rPr>
                <w:rFonts w:cs="Arial"/>
                <w:color w:val="000000"/>
                <w:szCs w:val="20"/>
              </w:rPr>
            </w:pPr>
            <w:r w:rsidRPr="004F23CA">
              <w:rPr>
                <w:rFonts w:cs="Arial"/>
                <w:color w:val="000000"/>
                <w:szCs w:val="20"/>
              </w:rPr>
              <w:t>12/17/2008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EDC29" w14:textId="77777777" w:rsidR="004F23CA" w:rsidRPr="004F23CA" w:rsidRDefault="004F23CA" w:rsidP="004F23CA">
            <w:pPr>
              <w:jc w:val="center"/>
              <w:rPr>
                <w:rFonts w:cs="Arial"/>
                <w:color w:val="000000"/>
                <w:szCs w:val="20"/>
              </w:rPr>
            </w:pPr>
            <w:r w:rsidRPr="004F23CA">
              <w:rPr>
                <w:rFonts w:cs="Arial"/>
                <w:color w:val="000000"/>
                <w:szCs w:val="20"/>
              </w:rPr>
              <w:t>12/16/2038</w:t>
            </w:r>
          </w:p>
        </w:tc>
      </w:tr>
      <w:tr w:rsidR="004F23CA" w:rsidRPr="004F23CA" w14:paraId="4D4D51BD" w14:textId="77777777" w:rsidTr="00F61A36">
        <w:trPr>
          <w:trHeight w:val="510"/>
        </w:trPr>
        <w:tc>
          <w:tcPr>
            <w:tcW w:w="5663" w:type="dxa"/>
            <w:tcBorders>
              <w:top w:val="single" w:sz="4" w:space="0" w:color="auto"/>
              <w:left w:val="single" w:sz="4" w:space="0" w:color="auto"/>
              <w:bottom w:val="single" w:sz="4" w:space="0" w:color="auto"/>
              <w:right w:val="single" w:sz="4" w:space="0" w:color="auto"/>
            </w:tcBorders>
            <w:shd w:val="clear" w:color="auto" w:fill="auto"/>
            <w:noWrap/>
            <w:hideMark/>
          </w:tcPr>
          <w:p w14:paraId="5CC1CC2E" w14:textId="77777777" w:rsidR="004F23CA" w:rsidRPr="004F23CA" w:rsidRDefault="004F23CA" w:rsidP="004F23CA">
            <w:pPr>
              <w:rPr>
                <w:rFonts w:cs="Arial"/>
                <w:color w:val="000000"/>
                <w:szCs w:val="20"/>
              </w:rPr>
            </w:pPr>
            <w:r w:rsidRPr="004F23CA">
              <w:rPr>
                <w:rFonts w:cs="Arial"/>
                <w:color w:val="000000"/>
                <w:szCs w:val="20"/>
              </w:rPr>
              <w:t>RDA Housing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11C2EFC2" w14:textId="77777777" w:rsidR="004F23CA" w:rsidRPr="004F23CA" w:rsidRDefault="004F23CA" w:rsidP="004F23CA">
            <w:pPr>
              <w:rPr>
                <w:rFonts w:cs="Arial"/>
                <w:color w:val="000000"/>
                <w:szCs w:val="20"/>
              </w:rPr>
            </w:pPr>
            <w:r w:rsidRPr="004F23CA">
              <w:rPr>
                <w:rFonts w:cs="Arial"/>
                <w:color w:val="000000"/>
                <w:szCs w:val="20"/>
              </w:rPr>
              <w:t xml:space="preserve">Grand View Dr., </w:t>
            </w:r>
            <w:proofErr w:type="spellStart"/>
            <w:r w:rsidRPr="004F23CA">
              <w:rPr>
                <w:rFonts w:cs="Arial"/>
                <w:color w:val="000000"/>
                <w:szCs w:val="20"/>
              </w:rPr>
              <w:t>Boyton</w:t>
            </w:r>
            <w:proofErr w:type="spellEnd"/>
            <w:r w:rsidRPr="004F23CA">
              <w:rPr>
                <w:rFonts w:cs="Arial"/>
                <w:color w:val="000000"/>
                <w:szCs w:val="20"/>
              </w:rPr>
              <w:t xml:space="preserve"> Ave., Bird St.</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7E74A04B" w14:textId="77777777" w:rsidR="004F23CA" w:rsidRPr="004F23CA" w:rsidRDefault="004F23CA" w:rsidP="004F23CA">
            <w:pPr>
              <w:jc w:val="center"/>
              <w:rPr>
                <w:rFonts w:cs="Arial"/>
                <w:color w:val="000000"/>
                <w:szCs w:val="20"/>
              </w:rPr>
            </w:pPr>
            <w:r w:rsidRPr="004F23CA">
              <w:rPr>
                <w:rFonts w:cs="Arial"/>
                <w:color w:val="000000"/>
                <w:szCs w:val="20"/>
              </w:rPr>
              <w:t>12/18/2008</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5B364DA3" w14:textId="77777777" w:rsidR="004F23CA" w:rsidRPr="004F23CA" w:rsidRDefault="004F23CA" w:rsidP="004F23CA">
            <w:pPr>
              <w:jc w:val="center"/>
              <w:rPr>
                <w:rFonts w:cs="Arial"/>
                <w:color w:val="000000"/>
                <w:szCs w:val="20"/>
              </w:rPr>
            </w:pPr>
            <w:r w:rsidRPr="004F23CA">
              <w:rPr>
                <w:rFonts w:cs="Arial"/>
                <w:color w:val="000000"/>
                <w:szCs w:val="20"/>
              </w:rPr>
              <w:t>12/17/2038</w:t>
            </w:r>
          </w:p>
        </w:tc>
      </w:tr>
      <w:tr w:rsidR="004F23CA" w:rsidRPr="004F23CA" w14:paraId="7EB437E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58C3D"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1CC10"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E5BBA" w14:textId="77777777" w:rsidR="004F23CA" w:rsidRPr="004F23CA" w:rsidRDefault="004F23CA" w:rsidP="004F23CA">
            <w:pPr>
              <w:jc w:val="center"/>
              <w:rPr>
                <w:rFonts w:cs="Arial"/>
                <w:color w:val="000000"/>
                <w:szCs w:val="20"/>
              </w:rPr>
            </w:pPr>
            <w:r w:rsidRPr="004F23CA">
              <w:rPr>
                <w:rFonts w:cs="Arial"/>
                <w:color w:val="000000"/>
                <w:szCs w:val="20"/>
              </w:rPr>
              <w:t>12/19/2008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1C736" w14:textId="77777777" w:rsidR="004F23CA" w:rsidRPr="004F23CA" w:rsidRDefault="004F23CA" w:rsidP="004F23CA">
            <w:pPr>
              <w:jc w:val="center"/>
              <w:rPr>
                <w:rFonts w:cs="Arial"/>
                <w:color w:val="000000"/>
                <w:szCs w:val="20"/>
              </w:rPr>
            </w:pPr>
            <w:r w:rsidRPr="004F23CA">
              <w:rPr>
                <w:rFonts w:cs="Arial"/>
                <w:color w:val="000000"/>
                <w:szCs w:val="20"/>
              </w:rPr>
              <w:t>12/18/2038</w:t>
            </w:r>
          </w:p>
        </w:tc>
      </w:tr>
      <w:tr w:rsidR="004F23CA" w:rsidRPr="004F23CA" w14:paraId="1612383C"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0CE10"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E2A7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09564" w14:textId="77777777" w:rsidR="004F23CA" w:rsidRPr="004F23CA" w:rsidRDefault="004F23CA" w:rsidP="004F23CA">
            <w:pPr>
              <w:jc w:val="center"/>
              <w:rPr>
                <w:rFonts w:cs="Arial"/>
                <w:color w:val="000000"/>
                <w:szCs w:val="20"/>
              </w:rPr>
            </w:pPr>
            <w:r w:rsidRPr="004F23CA">
              <w:rPr>
                <w:rFonts w:cs="Arial"/>
                <w:color w:val="000000"/>
                <w:szCs w:val="20"/>
              </w:rPr>
              <w:t>12/20/2008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FD59A" w14:textId="77777777" w:rsidR="004F23CA" w:rsidRPr="004F23CA" w:rsidRDefault="004F23CA" w:rsidP="004F23CA">
            <w:pPr>
              <w:jc w:val="center"/>
              <w:rPr>
                <w:rFonts w:cs="Arial"/>
                <w:color w:val="000000"/>
                <w:szCs w:val="20"/>
              </w:rPr>
            </w:pPr>
            <w:r w:rsidRPr="004F23CA">
              <w:rPr>
                <w:rFonts w:cs="Arial"/>
                <w:color w:val="000000"/>
                <w:szCs w:val="20"/>
              </w:rPr>
              <w:t>12/19/2038</w:t>
            </w:r>
          </w:p>
        </w:tc>
      </w:tr>
      <w:tr w:rsidR="004F23CA" w:rsidRPr="004F23CA" w14:paraId="338BD64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40D9E"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B4C9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6807F" w14:textId="77777777" w:rsidR="004F23CA" w:rsidRPr="004F23CA" w:rsidRDefault="004F23CA" w:rsidP="004F23CA">
            <w:pPr>
              <w:jc w:val="center"/>
              <w:rPr>
                <w:rFonts w:cs="Arial"/>
                <w:color w:val="000000"/>
                <w:szCs w:val="20"/>
              </w:rPr>
            </w:pPr>
            <w:r w:rsidRPr="004F23CA">
              <w:rPr>
                <w:rFonts w:cs="Arial"/>
                <w:color w:val="000000"/>
                <w:szCs w:val="20"/>
              </w:rPr>
              <w:t>12/21/2008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C45BA" w14:textId="77777777" w:rsidR="004F23CA" w:rsidRPr="004F23CA" w:rsidRDefault="004F23CA" w:rsidP="004F23CA">
            <w:pPr>
              <w:jc w:val="center"/>
              <w:rPr>
                <w:rFonts w:cs="Arial"/>
                <w:color w:val="000000"/>
                <w:szCs w:val="20"/>
              </w:rPr>
            </w:pPr>
            <w:r w:rsidRPr="004F23CA">
              <w:rPr>
                <w:rFonts w:cs="Arial"/>
                <w:color w:val="000000"/>
                <w:szCs w:val="20"/>
              </w:rPr>
              <w:t>12/20/2038</w:t>
            </w:r>
          </w:p>
        </w:tc>
      </w:tr>
      <w:tr w:rsidR="004F23CA" w:rsidRPr="004F23CA" w14:paraId="29E6BF6E"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71B63"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2590B"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EB7B0" w14:textId="77777777" w:rsidR="004F23CA" w:rsidRPr="004F23CA" w:rsidRDefault="004F23CA" w:rsidP="004F23CA">
            <w:pPr>
              <w:jc w:val="center"/>
              <w:rPr>
                <w:rFonts w:cs="Arial"/>
                <w:color w:val="000000"/>
                <w:szCs w:val="20"/>
              </w:rPr>
            </w:pPr>
            <w:r w:rsidRPr="004F23CA">
              <w:rPr>
                <w:rFonts w:cs="Arial"/>
                <w:color w:val="000000"/>
                <w:szCs w:val="20"/>
              </w:rPr>
              <w:t>12/22/2008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9B9B8" w14:textId="77777777" w:rsidR="004F23CA" w:rsidRPr="004F23CA" w:rsidRDefault="004F23CA" w:rsidP="004F23CA">
            <w:pPr>
              <w:jc w:val="center"/>
              <w:rPr>
                <w:rFonts w:cs="Arial"/>
                <w:color w:val="000000"/>
                <w:szCs w:val="20"/>
              </w:rPr>
            </w:pPr>
            <w:r w:rsidRPr="004F23CA">
              <w:rPr>
                <w:rFonts w:cs="Arial"/>
                <w:color w:val="000000"/>
                <w:szCs w:val="20"/>
              </w:rPr>
              <w:t>12/21/2038</w:t>
            </w:r>
          </w:p>
        </w:tc>
      </w:tr>
      <w:tr w:rsidR="004F23CA" w:rsidRPr="004F23CA" w14:paraId="2123E9E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AB4E8"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AE8DF"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947C84" w14:textId="77777777" w:rsidR="004F23CA" w:rsidRPr="004F23CA" w:rsidRDefault="004F23CA" w:rsidP="004F23CA">
            <w:pPr>
              <w:jc w:val="center"/>
              <w:rPr>
                <w:rFonts w:cs="Arial"/>
                <w:color w:val="000000"/>
                <w:szCs w:val="20"/>
              </w:rPr>
            </w:pPr>
            <w:r w:rsidRPr="004F23CA">
              <w:rPr>
                <w:rFonts w:cs="Arial"/>
                <w:color w:val="000000"/>
                <w:szCs w:val="20"/>
              </w:rPr>
              <w:t>12/23/2008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9B50F" w14:textId="77777777" w:rsidR="004F23CA" w:rsidRPr="004F23CA" w:rsidRDefault="004F23CA" w:rsidP="004F23CA">
            <w:pPr>
              <w:jc w:val="center"/>
              <w:rPr>
                <w:rFonts w:cs="Arial"/>
                <w:color w:val="000000"/>
                <w:szCs w:val="20"/>
              </w:rPr>
            </w:pPr>
            <w:r w:rsidRPr="004F23CA">
              <w:rPr>
                <w:rFonts w:cs="Arial"/>
                <w:color w:val="000000"/>
                <w:szCs w:val="20"/>
              </w:rPr>
              <w:t>12/22/2038</w:t>
            </w:r>
          </w:p>
        </w:tc>
      </w:tr>
      <w:tr w:rsidR="004F23CA" w:rsidRPr="004F23CA" w14:paraId="498429F1"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FFFA7"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F9C3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9794D" w14:textId="77777777" w:rsidR="004F23CA" w:rsidRPr="004F23CA" w:rsidRDefault="004F23CA" w:rsidP="004F23CA">
            <w:pPr>
              <w:jc w:val="center"/>
              <w:rPr>
                <w:rFonts w:cs="Arial"/>
                <w:color w:val="000000"/>
                <w:szCs w:val="20"/>
              </w:rPr>
            </w:pPr>
            <w:r w:rsidRPr="004F23CA">
              <w:rPr>
                <w:rFonts w:cs="Arial"/>
                <w:color w:val="000000"/>
                <w:szCs w:val="20"/>
              </w:rPr>
              <w:t>12/24/2008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F27BB" w14:textId="77777777" w:rsidR="004F23CA" w:rsidRPr="004F23CA" w:rsidRDefault="004F23CA" w:rsidP="004F23CA">
            <w:pPr>
              <w:jc w:val="center"/>
              <w:rPr>
                <w:rFonts w:cs="Arial"/>
                <w:color w:val="000000"/>
                <w:szCs w:val="20"/>
              </w:rPr>
            </w:pPr>
            <w:r w:rsidRPr="004F23CA">
              <w:rPr>
                <w:rFonts w:cs="Arial"/>
                <w:color w:val="000000"/>
                <w:szCs w:val="20"/>
              </w:rPr>
              <w:t>12/23/2038</w:t>
            </w:r>
          </w:p>
        </w:tc>
      </w:tr>
      <w:tr w:rsidR="004F23CA" w:rsidRPr="004F23CA" w14:paraId="118A794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9E9CD"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B42D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075E4" w14:textId="77777777" w:rsidR="004F23CA" w:rsidRPr="004F23CA" w:rsidRDefault="004F23CA" w:rsidP="004F23CA">
            <w:pPr>
              <w:jc w:val="center"/>
              <w:rPr>
                <w:rFonts w:cs="Arial"/>
                <w:color w:val="000000"/>
                <w:szCs w:val="20"/>
              </w:rPr>
            </w:pPr>
            <w:r w:rsidRPr="004F23CA">
              <w:rPr>
                <w:rFonts w:cs="Arial"/>
                <w:color w:val="000000"/>
                <w:szCs w:val="20"/>
              </w:rPr>
              <w:t>12/25/2008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979DB8" w14:textId="77777777" w:rsidR="004F23CA" w:rsidRPr="004F23CA" w:rsidRDefault="004F23CA" w:rsidP="004F23CA">
            <w:pPr>
              <w:jc w:val="center"/>
              <w:rPr>
                <w:rFonts w:cs="Arial"/>
                <w:color w:val="000000"/>
                <w:szCs w:val="20"/>
              </w:rPr>
            </w:pPr>
            <w:r w:rsidRPr="004F23CA">
              <w:rPr>
                <w:rFonts w:cs="Arial"/>
                <w:color w:val="000000"/>
                <w:szCs w:val="20"/>
              </w:rPr>
              <w:t>12/24/2038</w:t>
            </w:r>
          </w:p>
        </w:tc>
      </w:tr>
      <w:tr w:rsidR="004F23CA" w:rsidRPr="004F23CA" w14:paraId="4815F78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B860B"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20107"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E49C1" w14:textId="77777777" w:rsidR="004F23CA" w:rsidRPr="004F23CA" w:rsidRDefault="004F23CA" w:rsidP="004F23CA">
            <w:pPr>
              <w:jc w:val="center"/>
              <w:rPr>
                <w:rFonts w:cs="Arial"/>
                <w:color w:val="000000"/>
                <w:szCs w:val="20"/>
              </w:rPr>
            </w:pPr>
            <w:r w:rsidRPr="004F23CA">
              <w:rPr>
                <w:rFonts w:cs="Arial"/>
                <w:color w:val="000000"/>
                <w:szCs w:val="20"/>
              </w:rPr>
              <w:t>12/26/2008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02D48" w14:textId="77777777" w:rsidR="004F23CA" w:rsidRPr="004F23CA" w:rsidRDefault="004F23CA" w:rsidP="004F23CA">
            <w:pPr>
              <w:jc w:val="center"/>
              <w:rPr>
                <w:rFonts w:cs="Arial"/>
                <w:color w:val="000000"/>
                <w:szCs w:val="20"/>
              </w:rPr>
            </w:pPr>
            <w:r w:rsidRPr="004F23CA">
              <w:rPr>
                <w:rFonts w:cs="Arial"/>
                <w:color w:val="000000"/>
                <w:szCs w:val="20"/>
              </w:rPr>
              <w:t>12/25/2038</w:t>
            </w:r>
          </w:p>
        </w:tc>
      </w:tr>
      <w:tr w:rsidR="004F23CA" w:rsidRPr="004F23CA" w14:paraId="4EAE3CDB"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5BDC1"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D4211"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C85C7" w14:textId="77777777" w:rsidR="004F23CA" w:rsidRPr="004F23CA" w:rsidRDefault="004F23CA" w:rsidP="004F23CA">
            <w:pPr>
              <w:jc w:val="center"/>
              <w:rPr>
                <w:rFonts w:cs="Arial"/>
                <w:color w:val="000000"/>
                <w:szCs w:val="20"/>
              </w:rPr>
            </w:pPr>
            <w:r w:rsidRPr="004F23CA">
              <w:rPr>
                <w:rFonts w:cs="Arial"/>
                <w:color w:val="000000"/>
                <w:szCs w:val="20"/>
              </w:rPr>
              <w:t>12/27/2008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950A04" w14:textId="77777777" w:rsidR="004F23CA" w:rsidRPr="004F23CA" w:rsidRDefault="004F23CA" w:rsidP="004F23CA">
            <w:pPr>
              <w:jc w:val="center"/>
              <w:rPr>
                <w:rFonts w:cs="Arial"/>
                <w:color w:val="000000"/>
                <w:szCs w:val="20"/>
              </w:rPr>
            </w:pPr>
            <w:r w:rsidRPr="004F23CA">
              <w:rPr>
                <w:rFonts w:cs="Arial"/>
                <w:color w:val="000000"/>
                <w:szCs w:val="20"/>
              </w:rPr>
              <w:t>12/26/2038</w:t>
            </w:r>
          </w:p>
        </w:tc>
      </w:tr>
      <w:tr w:rsidR="004F23CA" w:rsidRPr="004F23CA" w14:paraId="69B07547"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16BB6"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6DE9E6"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31305" w14:textId="77777777" w:rsidR="004F23CA" w:rsidRPr="004F23CA" w:rsidRDefault="004F23CA" w:rsidP="004F23CA">
            <w:pPr>
              <w:jc w:val="center"/>
              <w:rPr>
                <w:rFonts w:cs="Arial"/>
                <w:color w:val="000000"/>
                <w:szCs w:val="20"/>
              </w:rPr>
            </w:pPr>
            <w:r w:rsidRPr="004F23CA">
              <w:rPr>
                <w:rFonts w:cs="Arial"/>
                <w:color w:val="000000"/>
                <w:szCs w:val="20"/>
              </w:rPr>
              <w:t>12/28/2008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D6109" w14:textId="77777777" w:rsidR="004F23CA" w:rsidRPr="004F23CA" w:rsidRDefault="004F23CA" w:rsidP="004F23CA">
            <w:pPr>
              <w:jc w:val="center"/>
              <w:rPr>
                <w:rFonts w:cs="Arial"/>
                <w:color w:val="000000"/>
                <w:szCs w:val="20"/>
              </w:rPr>
            </w:pPr>
            <w:r w:rsidRPr="004F23CA">
              <w:rPr>
                <w:rFonts w:cs="Arial"/>
                <w:color w:val="000000"/>
                <w:szCs w:val="20"/>
              </w:rPr>
              <w:t>12/27/2038</w:t>
            </w:r>
          </w:p>
        </w:tc>
      </w:tr>
      <w:tr w:rsidR="004F23CA" w:rsidRPr="004F23CA" w14:paraId="1AA3375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900AEC"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FC94F"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AEA23" w14:textId="77777777" w:rsidR="004F23CA" w:rsidRPr="004F23CA" w:rsidRDefault="004F23CA" w:rsidP="004F23CA">
            <w:pPr>
              <w:jc w:val="center"/>
              <w:rPr>
                <w:rFonts w:cs="Arial"/>
                <w:color w:val="000000"/>
                <w:szCs w:val="20"/>
              </w:rPr>
            </w:pPr>
            <w:r w:rsidRPr="004F23CA">
              <w:rPr>
                <w:rFonts w:cs="Arial"/>
                <w:color w:val="000000"/>
                <w:szCs w:val="20"/>
              </w:rPr>
              <w:t>12/29/2008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52617" w14:textId="77777777" w:rsidR="004F23CA" w:rsidRPr="004F23CA" w:rsidRDefault="004F23CA" w:rsidP="004F23CA">
            <w:pPr>
              <w:jc w:val="center"/>
              <w:rPr>
                <w:rFonts w:cs="Arial"/>
                <w:color w:val="000000"/>
                <w:szCs w:val="20"/>
              </w:rPr>
            </w:pPr>
            <w:r w:rsidRPr="004F23CA">
              <w:rPr>
                <w:rFonts w:cs="Arial"/>
                <w:color w:val="000000"/>
                <w:szCs w:val="20"/>
              </w:rPr>
              <w:t>12/28/2038</w:t>
            </w:r>
          </w:p>
        </w:tc>
      </w:tr>
      <w:tr w:rsidR="004F23CA" w:rsidRPr="004F23CA" w14:paraId="546A103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EEF88" w14:textId="77777777" w:rsidR="004F23CA" w:rsidRPr="004F23CA" w:rsidRDefault="004F23CA" w:rsidP="004F23CA">
            <w:pPr>
              <w:rPr>
                <w:rFonts w:cs="Arial"/>
                <w:color w:val="000000"/>
                <w:szCs w:val="20"/>
              </w:rPr>
            </w:pPr>
            <w:r w:rsidRPr="004F23CA">
              <w:rPr>
                <w:rFonts w:cs="Arial"/>
                <w:color w:val="000000"/>
                <w:szCs w:val="20"/>
              </w:rPr>
              <w:t>In-Fill Construction FTHB</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7EF9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FAD75" w14:textId="77777777" w:rsidR="004F23CA" w:rsidRPr="004F23CA" w:rsidRDefault="004F23CA" w:rsidP="004F23CA">
            <w:pPr>
              <w:jc w:val="center"/>
              <w:rPr>
                <w:rFonts w:cs="Arial"/>
                <w:color w:val="000000"/>
                <w:szCs w:val="20"/>
              </w:rPr>
            </w:pPr>
            <w:r w:rsidRPr="004F23CA">
              <w:rPr>
                <w:rFonts w:cs="Arial"/>
                <w:color w:val="000000"/>
                <w:szCs w:val="20"/>
              </w:rPr>
              <w:t>12/30/2008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E2910" w14:textId="77777777" w:rsidR="004F23CA" w:rsidRPr="004F23CA" w:rsidRDefault="004F23CA" w:rsidP="004F23CA">
            <w:pPr>
              <w:jc w:val="center"/>
              <w:rPr>
                <w:rFonts w:cs="Arial"/>
                <w:color w:val="000000"/>
                <w:szCs w:val="20"/>
              </w:rPr>
            </w:pPr>
            <w:r w:rsidRPr="004F23CA">
              <w:rPr>
                <w:rFonts w:cs="Arial"/>
                <w:color w:val="000000"/>
                <w:szCs w:val="20"/>
              </w:rPr>
              <w:t>12/29/2038</w:t>
            </w:r>
          </w:p>
        </w:tc>
      </w:tr>
      <w:tr w:rsidR="004F23CA" w:rsidRPr="004F23CA" w14:paraId="12020E1A"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C2FA6" w14:textId="77777777" w:rsidR="004F23CA" w:rsidRPr="004F23CA" w:rsidRDefault="004F23CA" w:rsidP="004F23CA">
            <w:pPr>
              <w:rPr>
                <w:rFonts w:cs="Arial"/>
                <w:color w:val="000000"/>
                <w:szCs w:val="20"/>
              </w:rPr>
            </w:pPr>
            <w:r w:rsidRPr="004F23CA">
              <w:rPr>
                <w:rFonts w:cs="Arial"/>
                <w:color w:val="000000"/>
                <w:szCs w:val="20"/>
              </w:rPr>
              <w:t>In-Fill Construction FTHB</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CB2D7"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5E381" w14:textId="77777777" w:rsidR="004F23CA" w:rsidRPr="004F23CA" w:rsidRDefault="004F23CA" w:rsidP="004F23CA">
            <w:pPr>
              <w:jc w:val="center"/>
              <w:rPr>
                <w:rFonts w:cs="Arial"/>
                <w:color w:val="000000"/>
                <w:szCs w:val="20"/>
              </w:rPr>
            </w:pPr>
            <w:r w:rsidRPr="004F23CA">
              <w:rPr>
                <w:rFonts w:cs="Arial"/>
                <w:color w:val="000000"/>
                <w:szCs w:val="20"/>
              </w:rPr>
              <w:t>12/31/2008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5C061" w14:textId="77777777" w:rsidR="004F23CA" w:rsidRPr="004F23CA" w:rsidRDefault="004F23CA" w:rsidP="004F23CA">
            <w:pPr>
              <w:jc w:val="center"/>
              <w:rPr>
                <w:rFonts w:cs="Arial"/>
                <w:color w:val="000000"/>
                <w:szCs w:val="20"/>
              </w:rPr>
            </w:pPr>
            <w:r w:rsidRPr="004F23CA">
              <w:rPr>
                <w:rFonts w:cs="Arial"/>
                <w:color w:val="000000"/>
                <w:szCs w:val="20"/>
              </w:rPr>
              <w:t>12/30/2038</w:t>
            </w:r>
          </w:p>
        </w:tc>
      </w:tr>
      <w:tr w:rsidR="004F23CA" w:rsidRPr="004F23CA" w14:paraId="451E68FA"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3AC25" w14:textId="77777777" w:rsidR="004F23CA" w:rsidRPr="004F23CA" w:rsidRDefault="004F23CA" w:rsidP="004F23CA">
            <w:pPr>
              <w:rPr>
                <w:rFonts w:cs="Arial"/>
                <w:color w:val="000000"/>
                <w:szCs w:val="20"/>
              </w:rPr>
            </w:pPr>
            <w:r w:rsidRPr="004F23CA">
              <w:rPr>
                <w:rFonts w:cs="Arial"/>
                <w:color w:val="000000"/>
                <w:szCs w:val="20"/>
              </w:rPr>
              <w:t>In-Fill Construction FTHB</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00A32"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3D24B" w14:textId="77777777" w:rsidR="004F23CA" w:rsidRPr="004F23CA" w:rsidRDefault="004F23CA" w:rsidP="004F23CA">
            <w:pPr>
              <w:jc w:val="center"/>
              <w:rPr>
                <w:rFonts w:cs="Arial"/>
                <w:color w:val="000000"/>
                <w:szCs w:val="20"/>
              </w:rPr>
            </w:pPr>
            <w:r w:rsidRPr="004F23CA">
              <w:rPr>
                <w:rFonts w:cs="Arial"/>
                <w:color w:val="000000"/>
                <w:szCs w:val="20"/>
              </w:rPr>
              <w:t>1/1/2009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74E94" w14:textId="77777777" w:rsidR="004F23CA" w:rsidRPr="004F23CA" w:rsidRDefault="004F23CA" w:rsidP="004F23CA">
            <w:pPr>
              <w:jc w:val="center"/>
              <w:rPr>
                <w:rFonts w:cs="Arial"/>
                <w:color w:val="000000"/>
                <w:szCs w:val="20"/>
              </w:rPr>
            </w:pPr>
            <w:r w:rsidRPr="004F23CA">
              <w:rPr>
                <w:rFonts w:cs="Arial"/>
                <w:color w:val="000000"/>
                <w:szCs w:val="20"/>
              </w:rPr>
              <w:t>12/31/2038</w:t>
            </w:r>
          </w:p>
        </w:tc>
      </w:tr>
      <w:tr w:rsidR="004F23CA" w:rsidRPr="004F23CA" w14:paraId="0DD6D06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E0960"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A777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54CDF" w14:textId="77777777" w:rsidR="004F23CA" w:rsidRPr="004F23CA" w:rsidRDefault="004F23CA" w:rsidP="004F23CA">
            <w:pPr>
              <w:jc w:val="center"/>
              <w:rPr>
                <w:rFonts w:cs="Arial"/>
                <w:color w:val="000000"/>
                <w:szCs w:val="20"/>
              </w:rPr>
            </w:pPr>
            <w:r w:rsidRPr="004F23CA">
              <w:rPr>
                <w:rFonts w:cs="Arial"/>
                <w:color w:val="000000"/>
                <w:szCs w:val="20"/>
              </w:rPr>
              <w:t>1/2/2009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2D58A" w14:textId="77777777" w:rsidR="004F23CA" w:rsidRPr="004F23CA" w:rsidRDefault="004F23CA" w:rsidP="004F23CA">
            <w:pPr>
              <w:jc w:val="center"/>
              <w:rPr>
                <w:rFonts w:cs="Arial"/>
                <w:color w:val="000000"/>
                <w:szCs w:val="20"/>
              </w:rPr>
            </w:pPr>
            <w:r w:rsidRPr="004F23CA">
              <w:rPr>
                <w:rFonts w:cs="Arial"/>
                <w:color w:val="000000"/>
                <w:szCs w:val="20"/>
              </w:rPr>
              <w:t>1/1/2039</w:t>
            </w:r>
          </w:p>
        </w:tc>
      </w:tr>
      <w:tr w:rsidR="004F23CA" w:rsidRPr="004F23CA" w14:paraId="4FA0C64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5948D"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0A13E"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68DF4" w14:textId="77777777" w:rsidR="004F23CA" w:rsidRPr="004F23CA" w:rsidRDefault="004F23CA" w:rsidP="004F23CA">
            <w:pPr>
              <w:jc w:val="center"/>
              <w:rPr>
                <w:rFonts w:cs="Arial"/>
                <w:color w:val="000000"/>
                <w:szCs w:val="20"/>
              </w:rPr>
            </w:pPr>
            <w:r w:rsidRPr="004F23CA">
              <w:rPr>
                <w:rFonts w:cs="Arial"/>
                <w:color w:val="000000"/>
                <w:szCs w:val="20"/>
              </w:rPr>
              <w:t>1/3/2009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0BFF3" w14:textId="77777777" w:rsidR="004F23CA" w:rsidRPr="004F23CA" w:rsidRDefault="004F23CA" w:rsidP="004F23CA">
            <w:pPr>
              <w:jc w:val="center"/>
              <w:rPr>
                <w:rFonts w:cs="Arial"/>
                <w:color w:val="000000"/>
                <w:szCs w:val="20"/>
              </w:rPr>
            </w:pPr>
            <w:r w:rsidRPr="004F23CA">
              <w:rPr>
                <w:rFonts w:cs="Arial"/>
                <w:color w:val="000000"/>
                <w:szCs w:val="20"/>
              </w:rPr>
              <w:t>1/2/2039</w:t>
            </w:r>
          </w:p>
        </w:tc>
      </w:tr>
      <w:tr w:rsidR="004F23CA" w:rsidRPr="004F23CA" w14:paraId="6A616CDB"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3C5C5"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6FBF1"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C4389" w14:textId="77777777" w:rsidR="004F23CA" w:rsidRPr="004F23CA" w:rsidRDefault="004F23CA" w:rsidP="004F23CA">
            <w:pPr>
              <w:jc w:val="center"/>
              <w:rPr>
                <w:rFonts w:cs="Arial"/>
                <w:color w:val="000000"/>
                <w:szCs w:val="20"/>
              </w:rPr>
            </w:pPr>
            <w:r w:rsidRPr="004F23CA">
              <w:rPr>
                <w:rFonts w:cs="Arial"/>
                <w:color w:val="000000"/>
                <w:szCs w:val="20"/>
              </w:rPr>
              <w:t>1/4/2009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7C9B1" w14:textId="77777777" w:rsidR="004F23CA" w:rsidRPr="004F23CA" w:rsidRDefault="004F23CA" w:rsidP="004F23CA">
            <w:pPr>
              <w:jc w:val="center"/>
              <w:rPr>
                <w:rFonts w:cs="Arial"/>
                <w:color w:val="000000"/>
                <w:szCs w:val="20"/>
              </w:rPr>
            </w:pPr>
            <w:r w:rsidRPr="004F23CA">
              <w:rPr>
                <w:rFonts w:cs="Arial"/>
                <w:color w:val="000000"/>
                <w:szCs w:val="20"/>
              </w:rPr>
              <w:t>1/3/2039</w:t>
            </w:r>
          </w:p>
        </w:tc>
      </w:tr>
      <w:tr w:rsidR="004F23CA" w:rsidRPr="004F23CA" w14:paraId="6369F2B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9FA6E"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924E1"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89A30" w14:textId="77777777" w:rsidR="004F23CA" w:rsidRPr="004F23CA" w:rsidRDefault="004F23CA" w:rsidP="004F23CA">
            <w:pPr>
              <w:jc w:val="center"/>
              <w:rPr>
                <w:rFonts w:cs="Arial"/>
                <w:color w:val="000000"/>
                <w:szCs w:val="20"/>
              </w:rPr>
            </w:pPr>
            <w:r w:rsidRPr="004F23CA">
              <w:rPr>
                <w:rFonts w:cs="Arial"/>
                <w:color w:val="000000"/>
                <w:szCs w:val="20"/>
              </w:rPr>
              <w:t>1/5/2009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00418" w14:textId="77777777" w:rsidR="004F23CA" w:rsidRPr="004F23CA" w:rsidRDefault="004F23CA" w:rsidP="004F23CA">
            <w:pPr>
              <w:jc w:val="center"/>
              <w:rPr>
                <w:rFonts w:cs="Arial"/>
                <w:color w:val="000000"/>
                <w:szCs w:val="20"/>
              </w:rPr>
            </w:pPr>
            <w:r w:rsidRPr="004F23CA">
              <w:rPr>
                <w:rFonts w:cs="Arial"/>
                <w:color w:val="000000"/>
                <w:szCs w:val="20"/>
              </w:rPr>
              <w:t>1/4/2039</w:t>
            </w:r>
          </w:p>
        </w:tc>
      </w:tr>
      <w:tr w:rsidR="004F23CA" w:rsidRPr="004F23CA" w14:paraId="6EE62C1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078AB"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22871"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63551" w14:textId="77777777" w:rsidR="004F23CA" w:rsidRPr="004F23CA" w:rsidRDefault="004F23CA" w:rsidP="004F23CA">
            <w:pPr>
              <w:jc w:val="center"/>
              <w:rPr>
                <w:rFonts w:cs="Arial"/>
                <w:color w:val="000000"/>
                <w:szCs w:val="20"/>
              </w:rPr>
            </w:pPr>
            <w:r w:rsidRPr="004F23CA">
              <w:rPr>
                <w:rFonts w:cs="Arial"/>
                <w:color w:val="000000"/>
                <w:szCs w:val="20"/>
              </w:rPr>
              <w:t>1/6/2009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83C18" w14:textId="77777777" w:rsidR="004F23CA" w:rsidRPr="004F23CA" w:rsidRDefault="004F23CA" w:rsidP="004F23CA">
            <w:pPr>
              <w:jc w:val="center"/>
              <w:rPr>
                <w:rFonts w:cs="Arial"/>
                <w:color w:val="000000"/>
                <w:szCs w:val="20"/>
              </w:rPr>
            </w:pPr>
            <w:r w:rsidRPr="004F23CA">
              <w:rPr>
                <w:rFonts w:cs="Arial"/>
                <w:color w:val="000000"/>
                <w:szCs w:val="20"/>
              </w:rPr>
              <w:t>1/5/2039</w:t>
            </w:r>
          </w:p>
        </w:tc>
      </w:tr>
      <w:tr w:rsidR="004F23CA" w:rsidRPr="004F23CA" w14:paraId="6062987B"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7A570"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27D0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41A82" w14:textId="77777777" w:rsidR="004F23CA" w:rsidRPr="004F23CA" w:rsidRDefault="004F23CA" w:rsidP="004F23CA">
            <w:pPr>
              <w:jc w:val="center"/>
              <w:rPr>
                <w:rFonts w:cs="Arial"/>
                <w:color w:val="000000"/>
                <w:szCs w:val="20"/>
              </w:rPr>
            </w:pPr>
            <w:r w:rsidRPr="004F23CA">
              <w:rPr>
                <w:rFonts w:cs="Arial"/>
                <w:color w:val="000000"/>
                <w:szCs w:val="20"/>
              </w:rPr>
              <w:t>1/7/2009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9F5AB" w14:textId="77777777" w:rsidR="004F23CA" w:rsidRPr="004F23CA" w:rsidRDefault="004F23CA" w:rsidP="004F23CA">
            <w:pPr>
              <w:jc w:val="center"/>
              <w:rPr>
                <w:rFonts w:cs="Arial"/>
                <w:color w:val="000000"/>
                <w:szCs w:val="20"/>
              </w:rPr>
            </w:pPr>
            <w:r w:rsidRPr="004F23CA">
              <w:rPr>
                <w:rFonts w:cs="Arial"/>
                <w:color w:val="000000"/>
                <w:szCs w:val="20"/>
              </w:rPr>
              <w:t>1/6/2039</w:t>
            </w:r>
          </w:p>
        </w:tc>
      </w:tr>
      <w:tr w:rsidR="004F23CA" w:rsidRPr="004F23CA" w14:paraId="680F231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08E29"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A8ED0"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5AC30" w14:textId="77777777" w:rsidR="004F23CA" w:rsidRPr="004F23CA" w:rsidRDefault="004F23CA" w:rsidP="004F23CA">
            <w:pPr>
              <w:jc w:val="center"/>
              <w:rPr>
                <w:rFonts w:cs="Arial"/>
                <w:color w:val="000000"/>
                <w:szCs w:val="20"/>
              </w:rPr>
            </w:pPr>
            <w:r w:rsidRPr="004F23CA">
              <w:rPr>
                <w:rFonts w:cs="Arial"/>
                <w:color w:val="000000"/>
                <w:szCs w:val="20"/>
              </w:rPr>
              <w:t>1/8/2009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B7333" w14:textId="77777777" w:rsidR="004F23CA" w:rsidRPr="004F23CA" w:rsidRDefault="004F23CA" w:rsidP="004F23CA">
            <w:pPr>
              <w:jc w:val="center"/>
              <w:rPr>
                <w:rFonts w:cs="Arial"/>
                <w:color w:val="000000"/>
                <w:szCs w:val="20"/>
              </w:rPr>
            </w:pPr>
            <w:r w:rsidRPr="004F23CA">
              <w:rPr>
                <w:rFonts w:cs="Arial"/>
                <w:color w:val="000000"/>
                <w:szCs w:val="20"/>
              </w:rPr>
              <w:t>1/7/2039</w:t>
            </w:r>
          </w:p>
        </w:tc>
      </w:tr>
      <w:tr w:rsidR="004F23CA" w:rsidRPr="004F23CA" w14:paraId="2FC6C4F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53ED"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761A6"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9D9C5" w14:textId="77777777" w:rsidR="004F23CA" w:rsidRPr="004F23CA" w:rsidRDefault="004F23CA" w:rsidP="004F23CA">
            <w:pPr>
              <w:jc w:val="center"/>
              <w:rPr>
                <w:rFonts w:cs="Arial"/>
                <w:color w:val="000000"/>
                <w:szCs w:val="20"/>
              </w:rPr>
            </w:pPr>
            <w:r w:rsidRPr="004F23CA">
              <w:rPr>
                <w:rFonts w:cs="Arial"/>
                <w:color w:val="000000"/>
                <w:szCs w:val="20"/>
              </w:rPr>
              <w:t>1/9/2009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44AD0" w14:textId="77777777" w:rsidR="004F23CA" w:rsidRPr="004F23CA" w:rsidRDefault="004F23CA" w:rsidP="004F23CA">
            <w:pPr>
              <w:jc w:val="center"/>
              <w:rPr>
                <w:rFonts w:cs="Arial"/>
                <w:color w:val="000000"/>
                <w:szCs w:val="20"/>
              </w:rPr>
            </w:pPr>
            <w:r w:rsidRPr="004F23CA">
              <w:rPr>
                <w:rFonts w:cs="Arial"/>
                <w:color w:val="000000"/>
                <w:szCs w:val="20"/>
              </w:rPr>
              <w:t>1/8/2039</w:t>
            </w:r>
          </w:p>
        </w:tc>
      </w:tr>
      <w:tr w:rsidR="004F23CA" w:rsidRPr="004F23CA" w14:paraId="6FF8044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DE794"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A020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D1B6A" w14:textId="77777777" w:rsidR="004F23CA" w:rsidRPr="004F23CA" w:rsidRDefault="004F23CA" w:rsidP="004F23CA">
            <w:pPr>
              <w:jc w:val="center"/>
              <w:rPr>
                <w:rFonts w:cs="Arial"/>
                <w:color w:val="000000"/>
                <w:szCs w:val="20"/>
              </w:rPr>
            </w:pPr>
            <w:r w:rsidRPr="004F23CA">
              <w:rPr>
                <w:rFonts w:cs="Arial"/>
                <w:color w:val="000000"/>
                <w:szCs w:val="20"/>
              </w:rPr>
              <w:t>1/10/2009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18CED" w14:textId="77777777" w:rsidR="004F23CA" w:rsidRPr="004F23CA" w:rsidRDefault="004F23CA" w:rsidP="004F23CA">
            <w:pPr>
              <w:jc w:val="center"/>
              <w:rPr>
                <w:rFonts w:cs="Arial"/>
                <w:color w:val="000000"/>
                <w:szCs w:val="20"/>
              </w:rPr>
            </w:pPr>
            <w:r w:rsidRPr="004F23CA">
              <w:rPr>
                <w:rFonts w:cs="Arial"/>
                <w:color w:val="000000"/>
                <w:szCs w:val="20"/>
              </w:rPr>
              <w:t>1/9/2039</w:t>
            </w:r>
          </w:p>
        </w:tc>
      </w:tr>
      <w:tr w:rsidR="004F23CA" w:rsidRPr="004F23CA" w14:paraId="2A711754"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95A76"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010BE"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F4BD9" w14:textId="77777777" w:rsidR="004F23CA" w:rsidRPr="004F23CA" w:rsidRDefault="004F23CA" w:rsidP="004F23CA">
            <w:pPr>
              <w:jc w:val="center"/>
              <w:rPr>
                <w:rFonts w:cs="Arial"/>
                <w:color w:val="000000"/>
                <w:szCs w:val="20"/>
              </w:rPr>
            </w:pPr>
            <w:r w:rsidRPr="004F23CA">
              <w:rPr>
                <w:rFonts w:cs="Arial"/>
                <w:color w:val="000000"/>
                <w:szCs w:val="20"/>
              </w:rPr>
              <w:t>1/11/2009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DA35D" w14:textId="77777777" w:rsidR="004F23CA" w:rsidRPr="004F23CA" w:rsidRDefault="004F23CA" w:rsidP="004F23CA">
            <w:pPr>
              <w:jc w:val="center"/>
              <w:rPr>
                <w:rFonts w:cs="Arial"/>
                <w:color w:val="000000"/>
                <w:szCs w:val="20"/>
              </w:rPr>
            </w:pPr>
            <w:r w:rsidRPr="004F23CA">
              <w:rPr>
                <w:rFonts w:cs="Arial"/>
                <w:color w:val="000000"/>
                <w:szCs w:val="20"/>
              </w:rPr>
              <w:t>1/10/2039</w:t>
            </w:r>
          </w:p>
        </w:tc>
      </w:tr>
      <w:tr w:rsidR="004F23CA" w:rsidRPr="004F23CA" w14:paraId="6F79E884"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C4C3"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13F1D"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EFFF2" w14:textId="77777777" w:rsidR="004F23CA" w:rsidRPr="004F23CA" w:rsidRDefault="004F23CA" w:rsidP="004F23CA">
            <w:pPr>
              <w:jc w:val="center"/>
              <w:rPr>
                <w:rFonts w:cs="Arial"/>
                <w:color w:val="000000"/>
                <w:szCs w:val="20"/>
              </w:rPr>
            </w:pPr>
            <w:r w:rsidRPr="004F23CA">
              <w:rPr>
                <w:rFonts w:cs="Arial"/>
                <w:color w:val="000000"/>
                <w:szCs w:val="20"/>
              </w:rPr>
              <w:t>1/12/2009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DBA8A" w14:textId="77777777" w:rsidR="004F23CA" w:rsidRPr="004F23CA" w:rsidRDefault="004F23CA" w:rsidP="004F23CA">
            <w:pPr>
              <w:jc w:val="center"/>
              <w:rPr>
                <w:rFonts w:cs="Arial"/>
                <w:color w:val="000000"/>
                <w:szCs w:val="20"/>
              </w:rPr>
            </w:pPr>
            <w:r w:rsidRPr="004F23CA">
              <w:rPr>
                <w:rFonts w:cs="Arial"/>
                <w:color w:val="000000"/>
                <w:szCs w:val="20"/>
              </w:rPr>
              <w:t>1/11/2039</w:t>
            </w:r>
          </w:p>
        </w:tc>
      </w:tr>
      <w:tr w:rsidR="004F23CA" w:rsidRPr="004F23CA" w14:paraId="71005D5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A0C7C"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DD214"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12BB8" w14:textId="77777777" w:rsidR="004F23CA" w:rsidRPr="004F23CA" w:rsidRDefault="004F23CA" w:rsidP="004F23CA">
            <w:pPr>
              <w:jc w:val="center"/>
              <w:rPr>
                <w:rFonts w:cs="Arial"/>
                <w:color w:val="000000"/>
                <w:szCs w:val="20"/>
              </w:rPr>
            </w:pPr>
            <w:r w:rsidRPr="004F23CA">
              <w:rPr>
                <w:rFonts w:cs="Arial"/>
                <w:color w:val="000000"/>
                <w:szCs w:val="20"/>
              </w:rPr>
              <w:t>1/13/2009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725C3" w14:textId="77777777" w:rsidR="004F23CA" w:rsidRPr="004F23CA" w:rsidRDefault="004F23CA" w:rsidP="004F23CA">
            <w:pPr>
              <w:jc w:val="center"/>
              <w:rPr>
                <w:rFonts w:cs="Arial"/>
                <w:color w:val="000000"/>
                <w:szCs w:val="20"/>
              </w:rPr>
            </w:pPr>
            <w:r w:rsidRPr="004F23CA">
              <w:rPr>
                <w:rFonts w:cs="Arial"/>
                <w:color w:val="000000"/>
                <w:szCs w:val="20"/>
              </w:rPr>
              <w:t>1/12/2039</w:t>
            </w:r>
          </w:p>
        </w:tc>
      </w:tr>
      <w:tr w:rsidR="004F23CA" w:rsidRPr="004F23CA" w14:paraId="43E0756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BE19"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19EA0"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F15ED" w14:textId="77777777" w:rsidR="004F23CA" w:rsidRPr="004F23CA" w:rsidRDefault="004F23CA" w:rsidP="004F23CA">
            <w:pPr>
              <w:jc w:val="center"/>
              <w:rPr>
                <w:rFonts w:cs="Arial"/>
                <w:color w:val="000000"/>
                <w:szCs w:val="20"/>
              </w:rPr>
            </w:pPr>
            <w:r w:rsidRPr="004F23CA">
              <w:rPr>
                <w:rFonts w:cs="Arial"/>
                <w:color w:val="000000"/>
                <w:szCs w:val="20"/>
              </w:rPr>
              <w:t>1/14/2009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8E89C" w14:textId="77777777" w:rsidR="004F23CA" w:rsidRPr="004F23CA" w:rsidRDefault="004F23CA" w:rsidP="004F23CA">
            <w:pPr>
              <w:jc w:val="center"/>
              <w:rPr>
                <w:rFonts w:cs="Arial"/>
                <w:color w:val="000000"/>
                <w:szCs w:val="20"/>
              </w:rPr>
            </w:pPr>
            <w:r w:rsidRPr="004F23CA">
              <w:rPr>
                <w:rFonts w:cs="Arial"/>
                <w:color w:val="000000"/>
                <w:szCs w:val="20"/>
              </w:rPr>
              <w:t>1/13/2039</w:t>
            </w:r>
          </w:p>
        </w:tc>
      </w:tr>
      <w:tr w:rsidR="004F23CA" w:rsidRPr="004F23CA" w14:paraId="0E321F87"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4A3E6"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059D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44CAE" w14:textId="77777777" w:rsidR="004F23CA" w:rsidRPr="004F23CA" w:rsidRDefault="004F23CA" w:rsidP="004F23CA">
            <w:pPr>
              <w:jc w:val="center"/>
              <w:rPr>
                <w:rFonts w:cs="Arial"/>
                <w:color w:val="000000"/>
                <w:szCs w:val="20"/>
              </w:rPr>
            </w:pPr>
            <w:r w:rsidRPr="004F23CA">
              <w:rPr>
                <w:rFonts w:cs="Arial"/>
                <w:color w:val="000000"/>
                <w:szCs w:val="20"/>
              </w:rPr>
              <w:t>1/15/2009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E5726" w14:textId="77777777" w:rsidR="004F23CA" w:rsidRPr="004F23CA" w:rsidRDefault="004F23CA" w:rsidP="004F23CA">
            <w:pPr>
              <w:jc w:val="center"/>
              <w:rPr>
                <w:rFonts w:cs="Arial"/>
                <w:color w:val="000000"/>
                <w:szCs w:val="20"/>
              </w:rPr>
            </w:pPr>
            <w:r w:rsidRPr="004F23CA">
              <w:rPr>
                <w:rFonts w:cs="Arial"/>
                <w:color w:val="000000"/>
                <w:szCs w:val="20"/>
              </w:rPr>
              <w:t>1/14/2039</w:t>
            </w:r>
          </w:p>
        </w:tc>
      </w:tr>
      <w:tr w:rsidR="004F23CA" w:rsidRPr="004F23CA" w14:paraId="215E13A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45E6"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669D0"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62190" w14:textId="77777777" w:rsidR="004F23CA" w:rsidRPr="004F23CA" w:rsidRDefault="004F23CA" w:rsidP="004F23CA">
            <w:pPr>
              <w:jc w:val="center"/>
              <w:rPr>
                <w:rFonts w:cs="Arial"/>
                <w:color w:val="000000"/>
                <w:szCs w:val="20"/>
              </w:rPr>
            </w:pPr>
            <w:r w:rsidRPr="004F23CA">
              <w:rPr>
                <w:rFonts w:cs="Arial"/>
                <w:color w:val="000000"/>
                <w:szCs w:val="20"/>
              </w:rPr>
              <w:t>1/16/2009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2525B" w14:textId="77777777" w:rsidR="004F23CA" w:rsidRPr="004F23CA" w:rsidRDefault="004F23CA" w:rsidP="004F23CA">
            <w:pPr>
              <w:jc w:val="center"/>
              <w:rPr>
                <w:rFonts w:cs="Arial"/>
                <w:color w:val="000000"/>
                <w:szCs w:val="20"/>
              </w:rPr>
            </w:pPr>
            <w:r w:rsidRPr="004F23CA">
              <w:rPr>
                <w:rFonts w:cs="Arial"/>
                <w:color w:val="000000"/>
                <w:szCs w:val="20"/>
              </w:rPr>
              <w:t>1/15/2039</w:t>
            </w:r>
          </w:p>
        </w:tc>
      </w:tr>
      <w:tr w:rsidR="004F23CA" w:rsidRPr="004F23CA" w14:paraId="22CDBBEE"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8FB0"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9183F"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40367" w14:textId="77777777" w:rsidR="004F23CA" w:rsidRPr="004F23CA" w:rsidRDefault="004F23CA" w:rsidP="004F23CA">
            <w:pPr>
              <w:jc w:val="center"/>
              <w:rPr>
                <w:rFonts w:cs="Arial"/>
                <w:color w:val="000000"/>
                <w:szCs w:val="20"/>
              </w:rPr>
            </w:pPr>
            <w:r w:rsidRPr="004F23CA">
              <w:rPr>
                <w:rFonts w:cs="Arial"/>
                <w:color w:val="000000"/>
                <w:szCs w:val="20"/>
              </w:rPr>
              <w:t>1/17/2009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34A13" w14:textId="77777777" w:rsidR="004F23CA" w:rsidRPr="004F23CA" w:rsidRDefault="004F23CA" w:rsidP="004F23CA">
            <w:pPr>
              <w:jc w:val="center"/>
              <w:rPr>
                <w:rFonts w:cs="Arial"/>
                <w:color w:val="000000"/>
                <w:szCs w:val="20"/>
              </w:rPr>
            </w:pPr>
            <w:r w:rsidRPr="004F23CA">
              <w:rPr>
                <w:rFonts w:cs="Arial"/>
                <w:color w:val="000000"/>
                <w:szCs w:val="20"/>
              </w:rPr>
              <w:t>1/16/2039</w:t>
            </w:r>
          </w:p>
        </w:tc>
      </w:tr>
      <w:tr w:rsidR="004F23CA" w:rsidRPr="004F23CA" w14:paraId="5C3A8FB5"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F6B35"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0B09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44124" w14:textId="77777777" w:rsidR="004F23CA" w:rsidRPr="004F23CA" w:rsidRDefault="004F23CA" w:rsidP="004F23CA">
            <w:pPr>
              <w:jc w:val="center"/>
              <w:rPr>
                <w:rFonts w:cs="Arial"/>
                <w:color w:val="000000"/>
                <w:szCs w:val="20"/>
              </w:rPr>
            </w:pPr>
            <w:r w:rsidRPr="004F23CA">
              <w:rPr>
                <w:rFonts w:cs="Arial"/>
                <w:color w:val="000000"/>
                <w:szCs w:val="20"/>
              </w:rPr>
              <w:t>1/18/2009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3CE35" w14:textId="77777777" w:rsidR="004F23CA" w:rsidRPr="004F23CA" w:rsidRDefault="004F23CA" w:rsidP="004F23CA">
            <w:pPr>
              <w:jc w:val="center"/>
              <w:rPr>
                <w:rFonts w:cs="Arial"/>
                <w:color w:val="000000"/>
                <w:szCs w:val="20"/>
              </w:rPr>
            </w:pPr>
            <w:r w:rsidRPr="004F23CA">
              <w:rPr>
                <w:rFonts w:cs="Arial"/>
                <w:color w:val="000000"/>
                <w:szCs w:val="20"/>
              </w:rPr>
              <w:t>1/17/2039</w:t>
            </w:r>
          </w:p>
        </w:tc>
      </w:tr>
      <w:tr w:rsidR="004F23CA" w:rsidRPr="004F23CA" w14:paraId="479415EE"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0565"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3CA15"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C7207" w14:textId="77777777" w:rsidR="004F23CA" w:rsidRPr="004F23CA" w:rsidRDefault="004F23CA" w:rsidP="004F23CA">
            <w:pPr>
              <w:jc w:val="center"/>
              <w:rPr>
                <w:rFonts w:cs="Arial"/>
                <w:color w:val="000000"/>
                <w:szCs w:val="20"/>
              </w:rPr>
            </w:pPr>
            <w:r w:rsidRPr="004F23CA">
              <w:rPr>
                <w:rFonts w:cs="Arial"/>
                <w:color w:val="000000"/>
                <w:szCs w:val="20"/>
              </w:rPr>
              <w:t>1/19/2009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F4DAF" w14:textId="77777777" w:rsidR="004F23CA" w:rsidRPr="004F23CA" w:rsidRDefault="004F23CA" w:rsidP="004F23CA">
            <w:pPr>
              <w:jc w:val="center"/>
              <w:rPr>
                <w:rFonts w:cs="Arial"/>
                <w:color w:val="000000"/>
                <w:szCs w:val="20"/>
              </w:rPr>
            </w:pPr>
            <w:r w:rsidRPr="004F23CA">
              <w:rPr>
                <w:rFonts w:cs="Arial"/>
                <w:color w:val="000000"/>
                <w:szCs w:val="20"/>
              </w:rPr>
              <w:t>1/18/2039</w:t>
            </w:r>
          </w:p>
        </w:tc>
      </w:tr>
      <w:tr w:rsidR="004F23CA" w:rsidRPr="004F23CA" w14:paraId="2C922AF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A1FE8"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6D5F4"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AE735" w14:textId="77777777" w:rsidR="004F23CA" w:rsidRPr="004F23CA" w:rsidRDefault="004F23CA" w:rsidP="004F23CA">
            <w:pPr>
              <w:jc w:val="center"/>
              <w:rPr>
                <w:rFonts w:cs="Arial"/>
                <w:color w:val="000000"/>
                <w:szCs w:val="20"/>
              </w:rPr>
            </w:pPr>
            <w:r w:rsidRPr="004F23CA">
              <w:rPr>
                <w:rFonts w:cs="Arial"/>
                <w:color w:val="000000"/>
                <w:szCs w:val="20"/>
              </w:rPr>
              <w:t>1/20/2009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48F82" w14:textId="77777777" w:rsidR="004F23CA" w:rsidRPr="004F23CA" w:rsidRDefault="004F23CA" w:rsidP="004F23CA">
            <w:pPr>
              <w:jc w:val="center"/>
              <w:rPr>
                <w:rFonts w:cs="Arial"/>
                <w:color w:val="000000"/>
                <w:szCs w:val="20"/>
              </w:rPr>
            </w:pPr>
            <w:r w:rsidRPr="004F23CA">
              <w:rPr>
                <w:rFonts w:cs="Arial"/>
                <w:color w:val="000000"/>
                <w:szCs w:val="20"/>
              </w:rPr>
              <w:t>1/19/2039</w:t>
            </w:r>
          </w:p>
        </w:tc>
      </w:tr>
      <w:tr w:rsidR="004F23CA" w:rsidRPr="004F23CA" w14:paraId="0D8C2AF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83806" w14:textId="77777777" w:rsidR="004F23CA" w:rsidRPr="004F23CA" w:rsidRDefault="004F23CA" w:rsidP="004F23CA">
            <w:pPr>
              <w:rPr>
                <w:rFonts w:cs="Arial"/>
                <w:color w:val="000000"/>
                <w:szCs w:val="20"/>
              </w:rPr>
            </w:pPr>
            <w:r w:rsidRPr="004F23CA">
              <w:rPr>
                <w:rFonts w:cs="Arial"/>
                <w:color w:val="000000"/>
                <w:szCs w:val="20"/>
              </w:rPr>
              <w:t>Landscape Improvement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A31A5"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F5D56" w14:textId="77777777" w:rsidR="004F23CA" w:rsidRPr="004F23CA" w:rsidRDefault="004F23CA" w:rsidP="004F23CA">
            <w:pPr>
              <w:jc w:val="center"/>
              <w:rPr>
                <w:rFonts w:cs="Arial"/>
                <w:color w:val="000000"/>
                <w:szCs w:val="20"/>
              </w:rPr>
            </w:pPr>
            <w:r w:rsidRPr="004F23CA">
              <w:rPr>
                <w:rFonts w:cs="Arial"/>
                <w:color w:val="000000"/>
                <w:szCs w:val="20"/>
              </w:rPr>
              <w:t>1/21/2009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C7046" w14:textId="77777777" w:rsidR="004F23CA" w:rsidRPr="004F23CA" w:rsidRDefault="004F23CA" w:rsidP="004F23CA">
            <w:pPr>
              <w:jc w:val="center"/>
              <w:rPr>
                <w:rFonts w:cs="Arial"/>
                <w:color w:val="000000"/>
                <w:szCs w:val="20"/>
              </w:rPr>
            </w:pPr>
            <w:r w:rsidRPr="004F23CA">
              <w:rPr>
                <w:rFonts w:cs="Arial"/>
                <w:color w:val="000000"/>
                <w:szCs w:val="20"/>
              </w:rPr>
              <w:t>1/20/2039</w:t>
            </w:r>
          </w:p>
        </w:tc>
      </w:tr>
      <w:tr w:rsidR="004F23CA" w:rsidRPr="004F23CA" w14:paraId="58009AB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7F641" w14:textId="77777777" w:rsidR="004F23CA" w:rsidRPr="004F23CA" w:rsidRDefault="004F23CA" w:rsidP="004F23CA">
            <w:pPr>
              <w:rPr>
                <w:rFonts w:cs="Arial"/>
                <w:color w:val="000000"/>
                <w:szCs w:val="20"/>
              </w:rPr>
            </w:pPr>
            <w:r w:rsidRPr="004F23CA">
              <w:rPr>
                <w:rFonts w:cs="Arial"/>
                <w:color w:val="000000"/>
                <w:szCs w:val="20"/>
              </w:rPr>
              <w:t>RDA Housing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EF6E1" w14:textId="77777777" w:rsidR="004F23CA" w:rsidRPr="004F23CA" w:rsidRDefault="004F23CA" w:rsidP="004F23CA">
            <w:pPr>
              <w:rPr>
                <w:rFonts w:cs="Arial"/>
                <w:color w:val="000000"/>
                <w:szCs w:val="20"/>
              </w:rPr>
            </w:pPr>
            <w:r w:rsidRPr="004F23CA">
              <w:rPr>
                <w:rFonts w:cs="Arial"/>
                <w:color w:val="000000"/>
                <w:szCs w:val="20"/>
              </w:rPr>
              <w:t>Grand View Dr</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1D25B" w14:textId="77777777" w:rsidR="004F23CA" w:rsidRPr="004F23CA" w:rsidRDefault="004F23CA" w:rsidP="004F23CA">
            <w:pPr>
              <w:jc w:val="center"/>
              <w:rPr>
                <w:rFonts w:cs="Arial"/>
                <w:color w:val="000000"/>
                <w:szCs w:val="20"/>
              </w:rPr>
            </w:pPr>
            <w:r w:rsidRPr="004F23CA">
              <w:rPr>
                <w:rFonts w:cs="Arial"/>
                <w:color w:val="000000"/>
                <w:szCs w:val="20"/>
              </w:rPr>
              <w:t>1/22/2009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FC4DF" w14:textId="77777777" w:rsidR="004F23CA" w:rsidRPr="004F23CA" w:rsidRDefault="004F23CA" w:rsidP="004F23CA">
            <w:pPr>
              <w:jc w:val="center"/>
              <w:rPr>
                <w:rFonts w:cs="Arial"/>
                <w:color w:val="000000"/>
                <w:szCs w:val="20"/>
              </w:rPr>
            </w:pPr>
            <w:r w:rsidRPr="004F23CA">
              <w:rPr>
                <w:rFonts w:cs="Arial"/>
                <w:color w:val="000000"/>
                <w:szCs w:val="20"/>
              </w:rPr>
              <w:t>1/21/2039</w:t>
            </w:r>
          </w:p>
        </w:tc>
      </w:tr>
      <w:tr w:rsidR="004F23CA" w:rsidRPr="004F23CA" w14:paraId="0146108A"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C5A6A" w14:textId="77777777" w:rsidR="004F23CA" w:rsidRPr="004F23CA" w:rsidRDefault="004F23CA" w:rsidP="004F23CA">
            <w:pPr>
              <w:rPr>
                <w:rFonts w:cs="Arial"/>
                <w:color w:val="000000"/>
                <w:szCs w:val="20"/>
              </w:rPr>
            </w:pPr>
            <w:r w:rsidRPr="004F23CA">
              <w:rPr>
                <w:rFonts w:cs="Arial"/>
                <w:color w:val="000000"/>
                <w:szCs w:val="20"/>
              </w:rPr>
              <w:t>RDA Housing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5589E" w14:textId="77777777" w:rsidR="004F23CA" w:rsidRPr="004F23CA" w:rsidRDefault="004F23CA" w:rsidP="004F23CA">
            <w:pPr>
              <w:rPr>
                <w:rFonts w:cs="Arial"/>
                <w:color w:val="000000"/>
                <w:szCs w:val="20"/>
              </w:rPr>
            </w:pPr>
            <w:proofErr w:type="spellStart"/>
            <w:r w:rsidRPr="004F23CA">
              <w:rPr>
                <w:rFonts w:cs="Arial"/>
                <w:color w:val="000000"/>
                <w:szCs w:val="20"/>
              </w:rPr>
              <w:t>Boyton</w:t>
            </w:r>
            <w:proofErr w:type="spellEnd"/>
            <w:r w:rsidRPr="004F23CA">
              <w:rPr>
                <w:rFonts w:cs="Arial"/>
                <w:color w:val="000000"/>
                <w:szCs w:val="20"/>
              </w:rPr>
              <w:t xml:space="preserve"> Ave.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58383" w14:textId="77777777" w:rsidR="004F23CA" w:rsidRPr="004F23CA" w:rsidRDefault="004F23CA" w:rsidP="004F23CA">
            <w:pPr>
              <w:jc w:val="center"/>
              <w:rPr>
                <w:rFonts w:cs="Arial"/>
                <w:color w:val="000000"/>
                <w:szCs w:val="20"/>
              </w:rPr>
            </w:pPr>
            <w:r w:rsidRPr="004F23CA">
              <w:rPr>
                <w:rFonts w:cs="Arial"/>
                <w:color w:val="000000"/>
                <w:szCs w:val="20"/>
              </w:rPr>
              <w:t>1/23/2009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2F176" w14:textId="77777777" w:rsidR="004F23CA" w:rsidRPr="004F23CA" w:rsidRDefault="004F23CA" w:rsidP="004F23CA">
            <w:pPr>
              <w:jc w:val="center"/>
              <w:rPr>
                <w:rFonts w:cs="Arial"/>
                <w:color w:val="000000"/>
                <w:szCs w:val="20"/>
              </w:rPr>
            </w:pPr>
            <w:r w:rsidRPr="004F23CA">
              <w:rPr>
                <w:rFonts w:cs="Arial"/>
                <w:color w:val="000000"/>
                <w:szCs w:val="20"/>
              </w:rPr>
              <w:t>1/22/2039</w:t>
            </w:r>
          </w:p>
        </w:tc>
      </w:tr>
      <w:tr w:rsidR="004F23CA" w:rsidRPr="004F23CA" w14:paraId="0C00A431"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53B59" w14:textId="77777777" w:rsidR="004F23CA" w:rsidRPr="004F23CA" w:rsidRDefault="004F23CA" w:rsidP="004F23CA">
            <w:pPr>
              <w:rPr>
                <w:rFonts w:cs="Arial"/>
                <w:color w:val="000000"/>
                <w:szCs w:val="20"/>
              </w:rPr>
            </w:pPr>
            <w:r w:rsidRPr="004F23CA">
              <w:rPr>
                <w:rFonts w:cs="Arial"/>
                <w:color w:val="000000"/>
                <w:szCs w:val="20"/>
              </w:rPr>
              <w:t>RDA Housing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2AE89" w14:textId="77777777" w:rsidR="004F23CA" w:rsidRPr="004F23CA" w:rsidRDefault="004F23CA" w:rsidP="004F23CA">
            <w:pPr>
              <w:rPr>
                <w:rFonts w:cs="Arial"/>
                <w:color w:val="000000"/>
                <w:szCs w:val="20"/>
              </w:rPr>
            </w:pPr>
            <w:r w:rsidRPr="004F23CA">
              <w:rPr>
                <w:rFonts w:cs="Arial"/>
                <w:color w:val="000000"/>
                <w:szCs w:val="20"/>
              </w:rPr>
              <w:t xml:space="preserve"> Bird St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E7DB0" w14:textId="77777777" w:rsidR="004F23CA" w:rsidRPr="004F23CA" w:rsidRDefault="004F23CA" w:rsidP="004F23CA">
            <w:pPr>
              <w:jc w:val="center"/>
              <w:rPr>
                <w:rFonts w:cs="Arial"/>
                <w:color w:val="000000"/>
                <w:szCs w:val="20"/>
              </w:rPr>
            </w:pPr>
            <w:r w:rsidRPr="004F23CA">
              <w:rPr>
                <w:rFonts w:cs="Arial"/>
                <w:color w:val="000000"/>
                <w:szCs w:val="20"/>
              </w:rPr>
              <w:t>1/24/2009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87A18" w14:textId="77777777" w:rsidR="004F23CA" w:rsidRPr="004F23CA" w:rsidRDefault="004F23CA" w:rsidP="004F23CA">
            <w:pPr>
              <w:jc w:val="center"/>
              <w:rPr>
                <w:rFonts w:cs="Arial"/>
                <w:color w:val="000000"/>
                <w:szCs w:val="20"/>
              </w:rPr>
            </w:pPr>
            <w:r w:rsidRPr="004F23CA">
              <w:rPr>
                <w:rFonts w:cs="Arial"/>
                <w:color w:val="000000"/>
                <w:szCs w:val="20"/>
              </w:rPr>
              <w:t>1/23/2039</w:t>
            </w:r>
          </w:p>
        </w:tc>
      </w:tr>
      <w:tr w:rsidR="004F23CA" w:rsidRPr="004F23CA" w14:paraId="460C09C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7AB7E" w14:textId="77777777" w:rsidR="004F23CA" w:rsidRPr="004F23CA" w:rsidRDefault="004F23CA" w:rsidP="004F23CA">
            <w:pPr>
              <w:rPr>
                <w:rFonts w:cs="Arial"/>
                <w:color w:val="000000"/>
                <w:szCs w:val="20"/>
              </w:rPr>
            </w:pPr>
            <w:r w:rsidRPr="004F23CA">
              <w:rPr>
                <w:rFonts w:cs="Arial"/>
                <w:color w:val="000000"/>
                <w:szCs w:val="20"/>
              </w:rPr>
              <w:t>RDA Housing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AC36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672CC" w14:textId="77777777" w:rsidR="004F23CA" w:rsidRPr="004F23CA" w:rsidRDefault="004F23CA" w:rsidP="004F23CA">
            <w:pPr>
              <w:jc w:val="center"/>
              <w:rPr>
                <w:rFonts w:cs="Arial"/>
                <w:color w:val="000000"/>
                <w:szCs w:val="20"/>
              </w:rPr>
            </w:pPr>
            <w:r w:rsidRPr="004F23CA">
              <w:rPr>
                <w:rFonts w:cs="Arial"/>
                <w:color w:val="000000"/>
                <w:szCs w:val="20"/>
              </w:rPr>
              <w:t>1/25/2009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EE10A" w14:textId="77777777" w:rsidR="004F23CA" w:rsidRPr="004F23CA" w:rsidRDefault="004F23CA" w:rsidP="004F23CA">
            <w:pPr>
              <w:jc w:val="center"/>
              <w:rPr>
                <w:rFonts w:cs="Arial"/>
                <w:color w:val="000000"/>
                <w:szCs w:val="20"/>
              </w:rPr>
            </w:pPr>
            <w:r w:rsidRPr="004F23CA">
              <w:rPr>
                <w:rFonts w:cs="Arial"/>
                <w:color w:val="000000"/>
                <w:szCs w:val="20"/>
              </w:rPr>
              <w:t>1/24/2039</w:t>
            </w:r>
          </w:p>
        </w:tc>
      </w:tr>
      <w:tr w:rsidR="004F23CA" w:rsidRPr="004F23CA" w14:paraId="4AC973D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1277C" w14:textId="77777777" w:rsidR="004F23CA" w:rsidRPr="004F23CA" w:rsidRDefault="004F23CA" w:rsidP="004F23CA">
            <w:pPr>
              <w:rPr>
                <w:rFonts w:cs="Arial"/>
                <w:color w:val="000000"/>
                <w:szCs w:val="20"/>
              </w:rPr>
            </w:pPr>
            <w:r w:rsidRPr="004F23CA">
              <w:rPr>
                <w:rFonts w:cs="Arial"/>
                <w:color w:val="000000"/>
                <w:szCs w:val="20"/>
              </w:rPr>
              <w:t>RDA Housing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49F5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241B3" w14:textId="77777777" w:rsidR="004F23CA" w:rsidRPr="004F23CA" w:rsidRDefault="004F23CA" w:rsidP="004F23CA">
            <w:pPr>
              <w:jc w:val="center"/>
              <w:rPr>
                <w:rFonts w:cs="Arial"/>
                <w:color w:val="000000"/>
                <w:szCs w:val="20"/>
              </w:rPr>
            </w:pPr>
            <w:r w:rsidRPr="004F23CA">
              <w:rPr>
                <w:rFonts w:cs="Arial"/>
                <w:color w:val="000000"/>
                <w:szCs w:val="20"/>
              </w:rPr>
              <w:t>1/26/2009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F2920" w14:textId="77777777" w:rsidR="004F23CA" w:rsidRPr="004F23CA" w:rsidRDefault="004F23CA" w:rsidP="004F23CA">
            <w:pPr>
              <w:jc w:val="center"/>
              <w:rPr>
                <w:rFonts w:cs="Arial"/>
                <w:color w:val="000000"/>
                <w:szCs w:val="20"/>
              </w:rPr>
            </w:pPr>
            <w:r w:rsidRPr="004F23CA">
              <w:rPr>
                <w:rFonts w:cs="Arial"/>
                <w:color w:val="000000"/>
                <w:szCs w:val="20"/>
              </w:rPr>
              <w:t>1/25/2039</w:t>
            </w:r>
          </w:p>
        </w:tc>
      </w:tr>
      <w:tr w:rsidR="004F23CA" w:rsidRPr="004F23CA" w14:paraId="06DF9B6E"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AFF6" w14:textId="77777777" w:rsidR="004F23CA" w:rsidRPr="004F23CA" w:rsidRDefault="004F23CA" w:rsidP="004F23CA">
            <w:pPr>
              <w:rPr>
                <w:rFonts w:cs="Arial"/>
                <w:color w:val="000000"/>
                <w:szCs w:val="20"/>
              </w:rPr>
            </w:pPr>
            <w:r w:rsidRPr="004F23CA">
              <w:rPr>
                <w:rFonts w:cs="Arial"/>
                <w:color w:val="000000"/>
                <w:szCs w:val="20"/>
              </w:rPr>
              <w:t>RDA Housing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4345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84AB1" w14:textId="77777777" w:rsidR="004F23CA" w:rsidRPr="004F23CA" w:rsidRDefault="004F23CA" w:rsidP="004F23CA">
            <w:pPr>
              <w:jc w:val="center"/>
              <w:rPr>
                <w:rFonts w:cs="Arial"/>
                <w:color w:val="000000"/>
                <w:szCs w:val="20"/>
              </w:rPr>
            </w:pPr>
            <w:r w:rsidRPr="004F23CA">
              <w:rPr>
                <w:rFonts w:cs="Arial"/>
                <w:color w:val="000000"/>
                <w:szCs w:val="20"/>
              </w:rPr>
              <w:t>1/27/2009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6296A" w14:textId="77777777" w:rsidR="004F23CA" w:rsidRPr="004F23CA" w:rsidRDefault="004F23CA" w:rsidP="004F23CA">
            <w:pPr>
              <w:jc w:val="center"/>
              <w:rPr>
                <w:rFonts w:cs="Arial"/>
                <w:color w:val="000000"/>
                <w:szCs w:val="20"/>
              </w:rPr>
            </w:pPr>
            <w:r w:rsidRPr="004F23CA">
              <w:rPr>
                <w:rFonts w:cs="Arial"/>
                <w:color w:val="000000"/>
                <w:szCs w:val="20"/>
              </w:rPr>
              <w:t>1/26/2039</w:t>
            </w:r>
          </w:p>
        </w:tc>
      </w:tr>
      <w:tr w:rsidR="004F23CA" w:rsidRPr="004F23CA" w14:paraId="60D3EAA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A8F38" w14:textId="77777777" w:rsidR="004F23CA" w:rsidRPr="004F23CA" w:rsidRDefault="004F23CA" w:rsidP="004F23CA">
            <w:pPr>
              <w:rPr>
                <w:rFonts w:cs="Arial"/>
                <w:color w:val="000000"/>
                <w:szCs w:val="20"/>
              </w:rPr>
            </w:pPr>
            <w:r w:rsidRPr="004F23CA">
              <w:rPr>
                <w:rFonts w:cs="Arial"/>
                <w:color w:val="000000"/>
                <w:szCs w:val="20"/>
              </w:rPr>
              <w:t>RDA Housing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5436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72A52" w14:textId="77777777" w:rsidR="004F23CA" w:rsidRPr="004F23CA" w:rsidRDefault="004F23CA" w:rsidP="004F23CA">
            <w:pPr>
              <w:jc w:val="center"/>
              <w:rPr>
                <w:rFonts w:cs="Arial"/>
                <w:color w:val="000000"/>
                <w:szCs w:val="20"/>
              </w:rPr>
            </w:pPr>
            <w:r w:rsidRPr="004F23CA">
              <w:rPr>
                <w:rFonts w:cs="Arial"/>
                <w:color w:val="000000"/>
                <w:szCs w:val="20"/>
              </w:rPr>
              <w:t>1/28/2009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F6148" w14:textId="77777777" w:rsidR="004F23CA" w:rsidRPr="004F23CA" w:rsidRDefault="004F23CA" w:rsidP="004F23CA">
            <w:pPr>
              <w:jc w:val="center"/>
              <w:rPr>
                <w:rFonts w:cs="Arial"/>
                <w:color w:val="000000"/>
                <w:szCs w:val="20"/>
              </w:rPr>
            </w:pPr>
            <w:r w:rsidRPr="004F23CA">
              <w:rPr>
                <w:rFonts w:cs="Arial"/>
                <w:color w:val="000000"/>
                <w:szCs w:val="20"/>
              </w:rPr>
              <w:t>1/27/2039</w:t>
            </w:r>
          </w:p>
        </w:tc>
      </w:tr>
      <w:tr w:rsidR="004F23CA" w:rsidRPr="004F23CA" w14:paraId="42983C03"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E37A0"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8D3F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942BD" w14:textId="77777777" w:rsidR="004F23CA" w:rsidRPr="004F23CA" w:rsidRDefault="004F23CA" w:rsidP="004F23CA">
            <w:pPr>
              <w:jc w:val="center"/>
              <w:rPr>
                <w:rFonts w:cs="Arial"/>
                <w:color w:val="000000"/>
                <w:szCs w:val="20"/>
              </w:rPr>
            </w:pPr>
            <w:r w:rsidRPr="004F23CA">
              <w:rPr>
                <w:rFonts w:cs="Arial"/>
                <w:color w:val="000000"/>
                <w:szCs w:val="20"/>
              </w:rPr>
              <w:t>1/29/2009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21E7B" w14:textId="77777777" w:rsidR="004F23CA" w:rsidRPr="004F23CA" w:rsidRDefault="004F23CA" w:rsidP="004F23CA">
            <w:pPr>
              <w:jc w:val="center"/>
              <w:rPr>
                <w:rFonts w:cs="Arial"/>
                <w:color w:val="000000"/>
                <w:szCs w:val="20"/>
              </w:rPr>
            </w:pPr>
            <w:r w:rsidRPr="004F23CA">
              <w:rPr>
                <w:rFonts w:cs="Arial"/>
                <w:color w:val="000000"/>
                <w:szCs w:val="20"/>
              </w:rPr>
              <w:t>1/28/2039</w:t>
            </w:r>
          </w:p>
        </w:tc>
      </w:tr>
      <w:tr w:rsidR="004F23CA" w:rsidRPr="004F23CA" w14:paraId="53647A4B"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30512"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67667"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938B6" w14:textId="77777777" w:rsidR="004F23CA" w:rsidRPr="004F23CA" w:rsidRDefault="004F23CA" w:rsidP="004F23CA">
            <w:pPr>
              <w:jc w:val="center"/>
              <w:rPr>
                <w:rFonts w:cs="Arial"/>
                <w:color w:val="000000"/>
                <w:szCs w:val="20"/>
              </w:rPr>
            </w:pPr>
            <w:r w:rsidRPr="004F23CA">
              <w:rPr>
                <w:rFonts w:cs="Arial"/>
                <w:color w:val="000000"/>
                <w:szCs w:val="20"/>
              </w:rPr>
              <w:t>1/30/2009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1A285" w14:textId="77777777" w:rsidR="004F23CA" w:rsidRPr="004F23CA" w:rsidRDefault="004F23CA" w:rsidP="004F23CA">
            <w:pPr>
              <w:jc w:val="center"/>
              <w:rPr>
                <w:rFonts w:cs="Arial"/>
                <w:color w:val="000000"/>
                <w:szCs w:val="20"/>
              </w:rPr>
            </w:pPr>
            <w:r w:rsidRPr="004F23CA">
              <w:rPr>
                <w:rFonts w:cs="Arial"/>
                <w:color w:val="000000"/>
                <w:szCs w:val="20"/>
              </w:rPr>
              <w:t>1/29/2039</w:t>
            </w:r>
          </w:p>
        </w:tc>
      </w:tr>
      <w:tr w:rsidR="004F23CA" w:rsidRPr="004F23CA" w14:paraId="634869C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46F01"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3587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4FA83" w14:textId="77777777" w:rsidR="004F23CA" w:rsidRPr="004F23CA" w:rsidRDefault="004F23CA" w:rsidP="004F23CA">
            <w:pPr>
              <w:jc w:val="center"/>
              <w:rPr>
                <w:rFonts w:cs="Arial"/>
                <w:color w:val="000000"/>
                <w:szCs w:val="20"/>
              </w:rPr>
            </w:pPr>
            <w:r w:rsidRPr="004F23CA">
              <w:rPr>
                <w:rFonts w:cs="Arial"/>
                <w:color w:val="000000"/>
                <w:szCs w:val="20"/>
              </w:rPr>
              <w:t>1/31/2009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B390D" w14:textId="77777777" w:rsidR="004F23CA" w:rsidRPr="004F23CA" w:rsidRDefault="004F23CA" w:rsidP="004F23CA">
            <w:pPr>
              <w:jc w:val="center"/>
              <w:rPr>
                <w:rFonts w:cs="Arial"/>
                <w:color w:val="000000"/>
                <w:szCs w:val="20"/>
              </w:rPr>
            </w:pPr>
            <w:r w:rsidRPr="004F23CA">
              <w:rPr>
                <w:rFonts w:cs="Arial"/>
                <w:color w:val="000000"/>
                <w:szCs w:val="20"/>
              </w:rPr>
              <w:t>1/30/2039</w:t>
            </w:r>
          </w:p>
        </w:tc>
      </w:tr>
      <w:tr w:rsidR="004F23CA" w:rsidRPr="004F23CA" w14:paraId="7FE0CDF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00BFA"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87799"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0F322" w14:textId="77777777" w:rsidR="004F23CA" w:rsidRPr="004F23CA" w:rsidRDefault="004F23CA" w:rsidP="004F23CA">
            <w:pPr>
              <w:jc w:val="center"/>
              <w:rPr>
                <w:rFonts w:cs="Arial"/>
                <w:color w:val="000000"/>
                <w:szCs w:val="20"/>
              </w:rPr>
            </w:pPr>
            <w:r w:rsidRPr="004F23CA">
              <w:rPr>
                <w:rFonts w:cs="Arial"/>
                <w:color w:val="000000"/>
                <w:szCs w:val="20"/>
              </w:rPr>
              <w:t>2/1/2009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C554A" w14:textId="77777777" w:rsidR="004F23CA" w:rsidRPr="004F23CA" w:rsidRDefault="004F23CA" w:rsidP="004F23CA">
            <w:pPr>
              <w:jc w:val="center"/>
              <w:rPr>
                <w:rFonts w:cs="Arial"/>
                <w:color w:val="000000"/>
                <w:szCs w:val="20"/>
              </w:rPr>
            </w:pPr>
            <w:r w:rsidRPr="004F23CA">
              <w:rPr>
                <w:rFonts w:cs="Arial"/>
                <w:color w:val="000000"/>
                <w:szCs w:val="20"/>
              </w:rPr>
              <w:t>1/31/2039</w:t>
            </w:r>
          </w:p>
        </w:tc>
      </w:tr>
      <w:tr w:rsidR="004F23CA" w:rsidRPr="004F23CA" w14:paraId="298D51D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ABE58"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51D98"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D3226" w14:textId="77777777" w:rsidR="004F23CA" w:rsidRPr="004F23CA" w:rsidRDefault="004F23CA" w:rsidP="004F23CA">
            <w:pPr>
              <w:jc w:val="center"/>
              <w:rPr>
                <w:rFonts w:cs="Arial"/>
                <w:color w:val="000000"/>
                <w:szCs w:val="20"/>
              </w:rPr>
            </w:pPr>
            <w:r w:rsidRPr="004F23CA">
              <w:rPr>
                <w:rFonts w:cs="Arial"/>
                <w:color w:val="000000"/>
                <w:szCs w:val="20"/>
              </w:rPr>
              <w:t>2/2/2009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9C528" w14:textId="77777777" w:rsidR="004F23CA" w:rsidRPr="004F23CA" w:rsidRDefault="004F23CA" w:rsidP="004F23CA">
            <w:pPr>
              <w:jc w:val="center"/>
              <w:rPr>
                <w:rFonts w:cs="Arial"/>
                <w:color w:val="000000"/>
                <w:szCs w:val="20"/>
              </w:rPr>
            </w:pPr>
            <w:r w:rsidRPr="004F23CA">
              <w:rPr>
                <w:rFonts w:cs="Arial"/>
                <w:color w:val="000000"/>
                <w:szCs w:val="20"/>
              </w:rPr>
              <w:t>2/1/2039</w:t>
            </w:r>
          </w:p>
        </w:tc>
      </w:tr>
      <w:tr w:rsidR="004F23CA" w:rsidRPr="004F23CA" w14:paraId="1ECC3555"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99BCB"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A89C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522C9" w14:textId="77777777" w:rsidR="004F23CA" w:rsidRPr="004F23CA" w:rsidRDefault="004F23CA" w:rsidP="004F23CA">
            <w:pPr>
              <w:jc w:val="center"/>
              <w:rPr>
                <w:rFonts w:cs="Arial"/>
                <w:color w:val="000000"/>
                <w:szCs w:val="20"/>
              </w:rPr>
            </w:pPr>
            <w:r w:rsidRPr="004F23CA">
              <w:rPr>
                <w:rFonts w:cs="Arial"/>
                <w:color w:val="000000"/>
                <w:szCs w:val="20"/>
              </w:rPr>
              <w:t>2/3/2009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46465" w14:textId="77777777" w:rsidR="004F23CA" w:rsidRPr="004F23CA" w:rsidRDefault="004F23CA" w:rsidP="004F23CA">
            <w:pPr>
              <w:jc w:val="center"/>
              <w:rPr>
                <w:rFonts w:cs="Arial"/>
                <w:color w:val="000000"/>
                <w:szCs w:val="20"/>
              </w:rPr>
            </w:pPr>
            <w:r w:rsidRPr="004F23CA">
              <w:rPr>
                <w:rFonts w:cs="Arial"/>
                <w:color w:val="000000"/>
                <w:szCs w:val="20"/>
              </w:rPr>
              <w:t>2/2/2039</w:t>
            </w:r>
          </w:p>
        </w:tc>
      </w:tr>
      <w:tr w:rsidR="004F23CA" w:rsidRPr="004F23CA" w14:paraId="071583E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6D207"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40958"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754A8" w14:textId="77777777" w:rsidR="004F23CA" w:rsidRPr="004F23CA" w:rsidRDefault="004F23CA" w:rsidP="004F23CA">
            <w:pPr>
              <w:jc w:val="center"/>
              <w:rPr>
                <w:rFonts w:cs="Arial"/>
                <w:color w:val="000000"/>
                <w:szCs w:val="20"/>
              </w:rPr>
            </w:pPr>
            <w:r w:rsidRPr="004F23CA">
              <w:rPr>
                <w:rFonts w:cs="Arial"/>
                <w:color w:val="000000"/>
                <w:szCs w:val="20"/>
              </w:rPr>
              <w:t>2/4/2009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762C9" w14:textId="77777777" w:rsidR="004F23CA" w:rsidRPr="004F23CA" w:rsidRDefault="004F23CA" w:rsidP="004F23CA">
            <w:pPr>
              <w:jc w:val="center"/>
              <w:rPr>
                <w:rFonts w:cs="Arial"/>
                <w:color w:val="000000"/>
                <w:szCs w:val="20"/>
              </w:rPr>
            </w:pPr>
            <w:r w:rsidRPr="004F23CA">
              <w:rPr>
                <w:rFonts w:cs="Arial"/>
                <w:color w:val="000000"/>
                <w:szCs w:val="20"/>
              </w:rPr>
              <w:t>2/3/2039</w:t>
            </w:r>
          </w:p>
        </w:tc>
      </w:tr>
      <w:tr w:rsidR="004F23CA" w:rsidRPr="004F23CA" w14:paraId="61D23563"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70ED75"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28D7B"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A5159" w14:textId="77777777" w:rsidR="004F23CA" w:rsidRPr="004F23CA" w:rsidRDefault="004F23CA" w:rsidP="004F23CA">
            <w:pPr>
              <w:jc w:val="center"/>
              <w:rPr>
                <w:rFonts w:cs="Arial"/>
                <w:color w:val="000000"/>
                <w:szCs w:val="20"/>
              </w:rPr>
            </w:pPr>
            <w:r w:rsidRPr="004F23CA">
              <w:rPr>
                <w:rFonts w:cs="Arial"/>
                <w:color w:val="000000"/>
                <w:szCs w:val="20"/>
              </w:rPr>
              <w:t>2/5/2009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7682" w14:textId="77777777" w:rsidR="004F23CA" w:rsidRPr="004F23CA" w:rsidRDefault="004F23CA" w:rsidP="004F23CA">
            <w:pPr>
              <w:jc w:val="center"/>
              <w:rPr>
                <w:rFonts w:cs="Arial"/>
                <w:color w:val="000000"/>
                <w:szCs w:val="20"/>
              </w:rPr>
            </w:pPr>
            <w:r w:rsidRPr="004F23CA">
              <w:rPr>
                <w:rFonts w:cs="Arial"/>
                <w:color w:val="000000"/>
                <w:szCs w:val="20"/>
              </w:rPr>
              <w:t>2/4/2039</w:t>
            </w:r>
          </w:p>
        </w:tc>
      </w:tr>
      <w:tr w:rsidR="004F23CA" w:rsidRPr="004F23CA" w14:paraId="1565D1D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700D6"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804D6"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E3938" w14:textId="77777777" w:rsidR="004F23CA" w:rsidRPr="004F23CA" w:rsidRDefault="004F23CA" w:rsidP="004F23CA">
            <w:pPr>
              <w:jc w:val="center"/>
              <w:rPr>
                <w:rFonts w:cs="Arial"/>
                <w:color w:val="000000"/>
                <w:szCs w:val="20"/>
              </w:rPr>
            </w:pPr>
            <w:r w:rsidRPr="004F23CA">
              <w:rPr>
                <w:rFonts w:cs="Arial"/>
                <w:color w:val="000000"/>
                <w:szCs w:val="20"/>
              </w:rPr>
              <w:t>2/6/2009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5EB04" w14:textId="77777777" w:rsidR="004F23CA" w:rsidRPr="004F23CA" w:rsidRDefault="004F23CA" w:rsidP="004F23CA">
            <w:pPr>
              <w:jc w:val="center"/>
              <w:rPr>
                <w:rFonts w:cs="Arial"/>
                <w:color w:val="000000"/>
                <w:szCs w:val="20"/>
              </w:rPr>
            </w:pPr>
            <w:r w:rsidRPr="004F23CA">
              <w:rPr>
                <w:rFonts w:cs="Arial"/>
                <w:color w:val="000000"/>
                <w:szCs w:val="20"/>
              </w:rPr>
              <w:t>2/5/2039</w:t>
            </w:r>
          </w:p>
        </w:tc>
      </w:tr>
      <w:tr w:rsidR="004F23CA" w:rsidRPr="004F23CA" w14:paraId="28E990E4"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019B1"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68D6B"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C0DED" w14:textId="77777777" w:rsidR="004F23CA" w:rsidRPr="004F23CA" w:rsidRDefault="004F23CA" w:rsidP="004F23CA">
            <w:pPr>
              <w:jc w:val="center"/>
              <w:rPr>
                <w:rFonts w:cs="Arial"/>
                <w:color w:val="000000"/>
                <w:szCs w:val="20"/>
              </w:rPr>
            </w:pPr>
            <w:r w:rsidRPr="004F23CA">
              <w:rPr>
                <w:rFonts w:cs="Arial"/>
                <w:color w:val="000000"/>
                <w:szCs w:val="20"/>
              </w:rPr>
              <w:t>2/7/2009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EFE95" w14:textId="77777777" w:rsidR="004F23CA" w:rsidRPr="004F23CA" w:rsidRDefault="004F23CA" w:rsidP="004F23CA">
            <w:pPr>
              <w:jc w:val="center"/>
              <w:rPr>
                <w:rFonts w:cs="Arial"/>
                <w:color w:val="000000"/>
                <w:szCs w:val="20"/>
              </w:rPr>
            </w:pPr>
            <w:r w:rsidRPr="004F23CA">
              <w:rPr>
                <w:rFonts w:cs="Arial"/>
                <w:color w:val="000000"/>
                <w:szCs w:val="20"/>
              </w:rPr>
              <w:t>2/6/2039</w:t>
            </w:r>
          </w:p>
        </w:tc>
      </w:tr>
      <w:tr w:rsidR="004F23CA" w:rsidRPr="004F23CA" w14:paraId="236D133A"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850D9"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25C6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F2DB6" w14:textId="77777777" w:rsidR="004F23CA" w:rsidRPr="004F23CA" w:rsidRDefault="004F23CA" w:rsidP="004F23CA">
            <w:pPr>
              <w:jc w:val="center"/>
              <w:rPr>
                <w:rFonts w:cs="Arial"/>
                <w:color w:val="000000"/>
                <w:szCs w:val="20"/>
              </w:rPr>
            </w:pPr>
            <w:r w:rsidRPr="004F23CA">
              <w:rPr>
                <w:rFonts w:cs="Arial"/>
                <w:color w:val="000000"/>
                <w:szCs w:val="20"/>
              </w:rPr>
              <w:t>2/8/2009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980C0" w14:textId="77777777" w:rsidR="004F23CA" w:rsidRPr="004F23CA" w:rsidRDefault="004F23CA" w:rsidP="004F23CA">
            <w:pPr>
              <w:jc w:val="center"/>
              <w:rPr>
                <w:rFonts w:cs="Arial"/>
                <w:color w:val="000000"/>
                <w:szCs w:val="20"/>
              </w:rPr>
            </w:pPr>
            <w:r w:rsidRPr="004F23CA">
              <w:rPr>
                <w:rFonts w:cs="Arial"/>
                <w:color w:val="000000"/>
                <w:szCs w:val="20"/>
              </w:rPr>
              <w:t>2/7/2039</w:t>
            </w:r>
          </w:p>
        </w:tc>
      </w:tr>
      <w:tr w:rsidR="004F23CA" w:rsidRPr="004F23CA" w14:paraId="724DF83B"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76ADE"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B957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22018" w14:textId="77777777" w:rsidR="004F23CA" w:rsidRPr="004F23CA" w:rsidRDefault="004F23CA" w:rsidP="004F23CA">
            <w:pPr>
              <w:jc w:val="center"/>
              <w:rPr>
                <w:rFonts w:cs="Arial"/>
                <w:color w:val="000000"/>
                <w:szCs w:val="20"/>
              </w:rPr>
            </w:pPr>
            <w:r w:rsidRPr="004F23CA">
              <w:rPr>
                <w:rFonts w:cs="Arial"/>
                <w:color w:val="000000"/>
                <w:szCs w:val="20"/>
              </w:rPr>
              <w:t>2/9/2009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60A18" w14:textId="77777777" w:rsidR="004F23CA" w:rsidRPr="004F23CA" w:rsidRDefault="004F23CA" w:rsidP="004F23CA">
            <w:pPr>
              <w:jc w:val="center"/>
              <w:rPr>
                <w:rFonts w:cs="Arial"/>
                <w:color w:val="000000"/>
                <w:szCs w:val="20"/>
              </w:rPr>
            </w:pPr>
            <w:r w:rsidRPr="004F23CA">
              <w:rPr>
                <w:rFonts w:cs="Arial"/>
                <w:color w:val="000000"/>
                <w:szCs w:val="20"/>
              </w:rPr>
              <w:t>2/8/2039</w:t>
            </w:r>
          </w:p>
        </w:tc>
      </w:tr>
      <w:tr w:rsidR="004F23CA" w:rsidRPr="004F23CA" w14:paraId="67F136C1"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8F482"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8E97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1EDBF" w14:textId="77777777" w:rsidR="004F23CA" w:rsidRPr="004F23CA" w:rsidRDefault="004F23CA" w:rsidP="004F23CA">
            <w:pPr>
              <w:jc w:val="center"/>
              <w:rPr>
                <w:rFonts w:cs="Arial"/>
                <w:color w:val="000000"/>
                <w:szCs w:val="20"/>
              </w:rPr>
            </w:pPr>
            <w:r w:rsidRPr="004F23CA">
              <w:rPr>
                <w:rFonts w:cs="Arial"/>
                <w:color w:val="000000"/>
                <w:szCs w:val="20"/>
              </w:rPr>
              <w:t>2/10/2009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A9EF6" w14:textId="77777777" w:rsidR="004F23CA" w:rsidRPr="004F23CA" w:rsidRDefault="004F23CA" w:rsidP="004F23CA">
            <w:pPr>
              <w:jc w:val="center"/>
              <w:rPr>
                <w:rFonts w:cs="Arial"/>
                <w:color w:val="000000"/>
                <w:szCs w:val="20"/>
              </w:rPr>
            </w:pPr>
            <w:r w:rsidRPr="004F23CA">
              <w:rPr>
                <w:rFonts w:cs="Arial"/>
                <w:color w:val="000000"/>
                <w:szCs w:val="20"/>
              </w:rPr>
              <w:t>2/9/2039</w:t>
            </w:r>
          </w:p>
        </w:tc>
      </w:tr>
      <w:tr w:rsidR="004F23CA" w:rsidRPr="004F23CA" w14:paraId="68440A2A"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E7FD4"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AA934"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A0AC8" w14:textId="77777777" w:rsidR="004F23CA" w:rsidRPr="004F23CA" w:rsidRDefault="004F23CA" w:rsidP="004F23CA">
            <w:pPr>
              <w:jc w:val="center"/>
              <w:rPr>
                <w:rFonts w:cs="Arial"/>
                <w:color w:val="000000"/>
                <w:szCs w:val="20"/>
              </w:rPr>
            </w:pPr>
            <w:r w:rsidRPr="004F23CA">
              <w:rPr>
                <w:rFonts w:cs="Arial"/>
                <w:color w:val="000000"/>
                <w:szCs w:val="20"/>
              </w:rPr>
              <w:t>2/11/2009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C5ACC" w14:textId="77777777" w:rsidR="004F23CA" w:rsidRPr="004F23CA" w:rsidRDefault="004F23CA" w:rsidP="004F23CA">
            <w:pPr>
              <w:jc w:val="center"/>
              <w:rPr>
                <w:rFonts w:cs="Arial"/>
                <w:color w:val="000000"/>
                <w:szCs w:val="20"/>
              </w:rPr>
            </w:pPr>
            <w:r w:rsidRPr="004F23CA">
              <w:rPr>
                <w:rFonts w:cs="Arial"/>
                <w:color w:val="000000"/>
                <w:szCs w:val="20"/>
              </w:rPr>
              <w:t>2/10/2039</w:t>
            </w:r>
          </w:p>
        </w:tc>
      </w:tr>
      <w:tr w:rsidR="004F23CA" w:rsidRPr="004F23CA" w14:paraId="4F1F23AB"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6E718"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C4488"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DF3D1" w14:textId="77777777" w:rsidR="004F23CA" w:rsidRPr="004F23CA" w:rsidRDefault="004F23CA" w:rsidP="004F23CA">
            <w:pPr>
              <w:jc w:val="center"/>
              <w:rPr>
                <w:rFonts w:cs="Arial"/>
                <w:color w:val="000000"/>
                <w:szCs w:val="20"/>
              </w:rPr>
            </w:pPr>
            <w:r w:rsidRPr="004F23CA">
              <w:rPr>
                <w:rFonts w:cs="Arial"/>
                <w:color w:val="000000"/>
                <w:szCs w:val="20"/>
              </w:rPr>
              <w:t>2/12/2009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F6DAB" w14:textId="77777777" w:rsidR="004F23CA" w:rsidRPr="004F23CA" w:rsidRDefault="004F23CA" w:rsidP="004F23CA">
            <w:pPr>
              <w:jc w:val="center"/>
              <w:rPr>
                <w:rFonts w:cs="Arial"/>
                <w:color w:val="000000"/>
                <w:szCs w:val="20"/>
              </w:rPr>
            </w:pPr>
            <w:r w:rsidRPr="004F23CA">
              <w:rPr>
                <w:rFonts w:cs="Arial"/>
                <w:color w:val="000000"/>
                <w:szCs w:val="20"/>
              </w:rPr>
              <w:t>2/11/2039</w:t>
            </w:r>
          </w:p>
        </w:tc>
      </w:tr>
      <w:tr w:rsidR="004F23CA" w:rsidRPr="004F23CA" w14:paraId="595572E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83C32"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A4BA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4A79F" w14:textId="77777777" w:rsidR="004F23CA" w:rsidRPr="004F23CA" w:rsidRDefault="004F23CA" w:rsidP="004F23CA">
            <w:pPr>
              <w:jc w:val="center"/>
              <w:rPr>
                <w:rFonts w:cs="Arial"/>
                <w:color w:val="000000"/>
                <w:szCs w:val="20"/>
              </w:rPr>
            </w:pPr>
            <w:r w:rsidRPr="004F23CA">
              <w:rPr>
                <w:rFonts w:cs="Arial"/>
                <w:color w:val="000000"/>
                <w:szCs w:val="20"/>
              </w:rPr>
              <w:t>2/13/2009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F5ED1" w14:textId="77777777" w:rsidR="004F23CA" w:rsidRPr="004F23CA" w:rsidRDefault="004F23CA" w:rsidP="004F23CA">
            <w:pPr>
              <w:jc w:val="center"/>
              <w:rPr>
                <w:rFonts w:cs="Arial"/>
                <w:color w:val="000000"/>
                <w:szCs w:val="20"/>
              </w:rPr>
            </w:pPr>
            <w:r w:rsidRPr="004F23CA">
              <w:rPr>
                <w:rFonts w:cs="Arial"/>
                <w:color w:val="000000"/>
                <w:szCs w:val="20"/>
              </w:rPr>
              <w:t>2/12/2039</w:t>
            </w:r>
          </w:p>
        </w:tc>
      </w:tr>
      <w:tr w:rsidR="004F23CA" w:rsidRPr="004F23CA" w14:paraId="112C1C1C"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2524B7"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FE4770"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76E0E" w14:textId="77777777" w:rsidR="004F23CA" w:rsidRPr="004F23CA" w:rsidRDefault="004F23CA" w:rsidP="004F23CA">
            <w:pPr>
              <w:jc w:val="center"/>
              <w:rPr>
                <w:rFonts w:cs="Arial"/>
                <w:color w:val="000000"/>
                <w:szCs w:val="20"/>
              </w:rPr>
            </w:pPr>
            <w:r w:rsidRPr="004F23CA">
              <w:rPr>
                <w:rFonts w:cs="Arial"/>
                <w:color w:val="000000"/>
                <w:szCs w:val="20"/>
              </w:rPr>
              <w:t>2/14/2009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5C4CF" w14:textId="77777777" w:rsidR="004F23CA" w:rsidRPr="004F23CA" w:rsidRDefault="004F23CA" w:rsidP="004F23CA">
            <w:pPr>
              <w:jc w:val="center"/>
              <w:rPr>
                <w:rFonts w:cs="Arial"/>
                <w:color w:val="000000"/>
                <w:szCs w:val="20"/>
              </w:rPr>
            </w:pPr>
            <w:r w:rsidRPr="004F23CA">
              <w:rPr>
                <w:rFonts w:cs="Arial"/>
                <w:color w:val="000000"/>
                <w:szCs w:val="20"/>
              </w:rPr>
              <w:t>2/13/2039</w:t>
            </w:r>
          </w:p>
        </w:tc>
      </w:tr>
      <w:tr w:rsidR="004F23CA" w:rsidRPr="004F23CA" w14:paraId="4728D33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F1FA8"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E66C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A4FC4" w14:textId="77777777" w:rsidR="004F23CA" w:rsidRPr="004F23CA" w:rsidRDefault="004F23CA" w:rsidP="004F23CA">
            <w:pPr>
              <w:jc w:val="center"/>
              <w:rPr>
                <w:rFonts w:cs="Arial"/>
                <w:color w:val="000000"/>
                <w:szCs w:val="20"/>
              </w:rPr>
            </w:pPr>
            <w:r w:rsidRPr="004F23CA">
              <w:rPr>
                <w:rFonts w:cs="Arial"/>
                <w:color w:val="000000"/>
                <w:szCs w:val="20"/>
              </w:rPr>
              <w:t>2/15/2009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2D9C2" w14:textId="77777777" w:rsidR="004F23CA" w:rsidRPr="004F23CA" w:rsidRDefault="004F23CA" w:rsidP="004F23CA">
            <w:pPr>
              <w:jc w:val="center"/>
              <w:rPr>
                <w:rFonts w:cs="Arial"/>
                <w:color w:val="000000"/>
                <w:szCs w:val="20"/>
              </w:rPr>
            </w:pPr>
            <w:r w:rsidRPr="004F23CA">
              <w:rPr>
                <w:rFonts w:cs="Arial"/>
                <w:color w:val="000000"/>
                <w:szCs w:val="20"/>
              </w:rPr>
              <w:t>2/14/2039</w:t>
            </w:r>
          </w:p>
        </w:tc>
      </w:tr>
      <w:tr w:rsidR="004F23CA" w:rsidRPr="004F23CA" w14:paraId="3994DFA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C1331"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8FE58"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22AA5" w14:textId="77777777" w:rsidR="004F23CA" w:rsidRPr="004F23CA" w:rsidRDefault="004F23CA" w:rsidP="004F23CA">
            <w:pPr>
              <w:jc w:val="center"/>
              <w:rPr>
                <w:rFonts w:cs="Arial"/>
                <w:color w:val="000000"/>
                <w:szCs w:val="20"/>
              </w:rPr>
            </w:pPr>
            <w:r w:rsidRPr="004F23CA">
              <w:rPr>
                <w:rFonts w:cs="Arial"/>
                <w:color w:val="000000"/>
                <w:szCs w:val="20"/>
              </w:rPr>
              <w:t>2/16/2009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ACA04" w14:textId="77777777" w:rsidR="004F23CA" w:rsidRPr="004F23CA" w:rsidRDefault="004F23CA" w:rsidP="004F23CA">
            <w:pPr>
              <w:jc w:val="center"/>
              <w:rPr>
                <w:rFonts w:cs="Arial"/>
                <w:color w:val="000000"/>
                <w:szCs w:val="20"/>
              </w:rPr>
            </w:pPr>
            <w:r w:rsidRPr="004F23CA">
              <w:rPr>
                <w:rFonts w:cs="Arial"/>
                <w:color w:val="000000"/>
                <w:szCs w:val="20"/>
              </w:rPr>
              <w:t>2/15/2039</w:t>
            </w:r>
          </w:p>
        </w:tc>
      </w:tr>
      <w:tr w:rsidR="004F23CA" w:rsidRPr="004F23CA" w14:paraId="03E8504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41E13"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278AB"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C3A0C" w14:textId="77777777" w:rsidR="004F23CA" w:rsidRPr="004F23CA" w:rsidRDefault="004F23CA" w:rsidP="004F23CA">
            <w:pPr>
              <w:jc w:val="center"/>
              <w:rPr>
                <w:rFonts w:cs="Arial"/>
                <w:color w:val="000000"/>
                <w:szCs w:val="20"/>
              </w:rPr>
            </w:pPr>
            <w:r w:rsidRPr="004F23CA">
              <w:rPr>
                <w:rFonts w:cs="Arial"/>
                <w:color w:val="000000"/>
                <w:szCs w:val="20"/>
              </w:rPr>
              <w:t>2/17/2009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BB6FF" w14:textId="77777777" w:rsidR="004F23CA" w:rsidRPr="004F23CA" w:rsidRDefault="004F23CA" w:rsidP="004F23CA">
            <w:pPr>
              <w:jc w:val="center"/>
              <w:rPr>
                <w:rFonts w:cs="Arial"/>
                <w:color w:val="000000"/>
                <w:szCs w:val="20"/>
              </w:rPr>
            </w:pPr>
            <w:r w:rsidRPr="004F23CA">
              <w:rPr>
                <w:rFonts w:cs="Arial"/>
                <w:color w:val="000000"/>
                <w:szCs w:val="20"/>
              </w:rPr>
              <w:t>2/16/2039</w:t>
            </w:r>
          </w:p>
        </w:tc>
      </w:tr>
      <w:tr w:rsidR="004F23CA" w:rsidRPr="004F23CA" w14:paraId="2B3899CB"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C35D2"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96918"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19338" w14:textId="77777777" w:rsidR="004F23CA" w:rsidRPr="004F23CA" w:rsidRDefault="004F23CA" w:rsidP="004F23CA">
            <w:pPr>
              <w:jc w:val="center"/>
              <w:rPr>
                <w:rFonts w:cs="Arial"/>
                <w:color w:val="000000"/>
                <w:szCs w:val="20"/>
              </w:rPr>
            </w:pPr>
            <w:r w:rsidRPr="004F23CA">
              <w:rPr>
                <w:rFonts w:cs="Arial"/>
                <w:color w:val="000000"/>
                <w:szCs w:val="20"/>
              </w:rPr>
              <w:t>2/18/2009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9791F" w14:textId="77777777" w:rsidR="004F23CA" w:rsidRPr="004F23CA" w:rsidRDefault="004F23CA" w:rsidP="004F23CA">
            <w:pPr>
              <w:jc w:val="center"/>
              <w:rPr>
                <w:rFonts w:cs="Arial"/>
                <w:color w:val="000000"/>
                <w:szCs w:val="20"/>
              </w:rPr>
            </w:pPr>
            <w:r w:rsidRPr="004F23CA">
              <w:rPr>
                <w:rFonts w:cs="Arial"/>
                <w:color w:val="000000"/>
                <w:szCs w:val="20"/>
              </w:rPr>
              <w:t>2/17/2039</w:t>
            </w:r>
          </w:p>
        </w:tc>
      </w:tr>
      <w:tr w:rsidR="004F23CA" w:rsidRPr="004F23CA" w14:paraId="173D8DD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0C59B" w14:textId="77777777" w:rsidR="004F23CA" w:rsidRPr="004F23CA" w:rsidRDefault="004F23CA" w:rsidP="004F23CA">
            <w:pPr>
              <w:rPr>
                <w:rFonts w:cs="Arial"/>
                <w:color w:val="000000"/>
                <w:szCs w:val="20"/>
              </w:rPr>
            </w:pPr>
            <w:r w:rsidRPr="004F23CA">
              <w:rPr>
                <w:rFonts w:cs="Arial"/>
                <w:color w:val="000000"/>
                <w:szCs w:val="20"/>
              </w:rPr>
              <w:t>CALHOME Fund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9A260"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71944" w14:textId="3E63C624" w:rsidR="004F23CA" w:rsidRPr="004F23CA" w:rsidRDefault="00824B38" w:rsidP="00ED57E8">
            <w:pPr>
              <w:jc w:val="center"/>
              <w:rPr>
                <w:rFonts w:cs="Arial"/>
                <w:color w:val="000000"/>
                <w:szCs w:val="20"/>
              </w:rPr>
            </w:pPr>
            <w:r>
              <w:rPr>
                <w:rFonts w:cs="Arial"/>
                <w:color w:val="000000"/>
                <w:szCs w:val="20"/>
              </w:rPr>
              <w:t>N/A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0F7C2" w14:textId="77777777" w:rsidR="004F23CA" w:rsidRPr="004F23CA" w:rsidRDefault="004F23CA" w:rsidP="004F23CA">
            <w:pPr>
              <w:jc w:val="center"/>
              <w:rPr>
                <w:rFonts w:cs="Arial"/>
                <w:color w:val="000000"/>
                <w:szCs w:val="20"/>
              </w:rPr>
            </w:pPr>
            <w:r w:rsidRPr="004F23CA">
              <w:rPr>
                <w:rFonts w:cs="Arial"/>
                <w:color w:val="000000"/>
                <w:szCs w:val="20"/>
              </w:rPr>
              <w:t>2/18/2039</w:t>
            </w:r>
          </w:p>
        </w:tc>
      </w:tr>
      <w:tr w:rsidR="004F23CA" w:rsidRPr="004F23CA" w14:paraId="4A8C7ACE"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74C12" w14:textId="77777777" w:rsidR="004F23CA" w:rsidRPr="004F23CA" w:rsidRDefault="004F23CA" w:rsidP="004F23CA">
            <w:pPr>
              <w:rPr>
                <w:rFonts w:cs="Arial"/>
                <w:color w:val="000000"/>
                <w:szCs w:val="20"/>
              </w:rPr>
            </w:pPr>
            <w:r w:rsidRPr="004F23CA">
              <w:rPr>
                <w:rFonts w:cs="Arial"/>
                <w:color w:val="000000"/>
                <w:szCs w:val="20"/>
              </w:rPr>
              <w:t>CALHOME Fund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15A6"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1433E" w14:textId="10544907" w:rsidR="004F23CA" w:rsidRPr="004F23CA" w:rsidRDefault="00824B38" w:rsidP="00ED57E8">
            <w:pPr>
              <w:jc w:val="center"/>
              <w:rPr>
                <w:rFonts w:cs="Arial"/>
                <w:color w:val="000000"/>
                <w:szCs w:val="20"/>
              </w:rPr>
            </w:pPr>
            <w:r>
              <w:rPr>
                <w:rFonts w:cs="Arial"/>
                <w:color w:val="000000"/>
                <w:szCs w:val="20"/>
              </w:rPr>
              <w:t>N/A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D755E" w14:textId="77777777" w:rsidR="004F23CA" w:rsidRPr="004F23CA" w:rsidRDefault="004F23CA" w:rsidP="004F23CA">
            <w:pPr>
              <w:jc w:val="center"/>
              <w:rPr>
                <w:rFonts w:cs="Arial"/>
                <w:color w:val="000000"/>
                <w:szCs w:val="20"/>
              </w:rPr>
            </w:pPr>
            <w:r w:rsidRPr="004F23CA">
              <w:rPr>
                <w:rFonts w:cs="Arial"/>
                <w:color w:val="000000"/>
                <w:szCs w:val="20"/>
              </w:rPr>
              <w:t>2/19/2039</w:t>
            </w:r>
          </w:p>
        </w:tc>
      </w:tr>
      <w:tr w:rsidR="004F23CA" w:rsidRPr="004F23CA" w14:paraId="19A497F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FAA5" w14:textId="77777777" w:rsidR="004F23CA" w:rsidRPr="004F23CA" w:rsidRDefault="004F23CA" w:rsidP="004F23CA">
            <w:pPr>
              <w:rPr>
                <w:rFonts w:cs="Arial"/>
                <w:color w:val="000000"/>
                <w:szCs w:val="20"/>
              </w:rPr>
            </w:pPr>
            <w:r w:rsidRPr="004F23CA">
              <w:rPr>
                <w:rFonts w:cs="Arial"/>
                <w:color w:val="000000"/>
                <w:szCs w:val="20"/>
              </w:rPr>
              <w:t>CALHOME Fund Rehabilitation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F3C32"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5231B" w14:textId="627E5589" w:rsidR="004F23CA" w:rsidRPr="004F23CA" w:rsidRDefault="00824B38" w:rsidP="00ED57E8">
            <w:pPr>
              <w:jc w:val="center"/>
              <w:rPr>
                <w:rFonts w:cs="Arial"/>
                <w:color w:val="000000"/>
                <w:szCs w:val="20"/>
              </w:rPr>
            </w:pPr>
            <w:r>
              <w:rPr>
                <w:rFonts w:cs="Arial"/>
                <w:color w:val="000000"/>
                <w:szCs w:val="20"/>
              </w:rPr>
              <w:t>N/A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08D96" w14:textId="77777777" w:rsidR="004F23CA" w:rsidRPr="004F23CA" w:rsidRDefault="004F23CA" w:rsidP="004F23CA">
            <w:pPr>
              <w:jc w:val="center"/>
              <w:rPr>
                <w:rFonts w:cs="Arial"/>
                <w:color w:val="000000"/>
                <w:szCs w:val="20"/>
              </w:rPr>
            </w:pPr>
            <w:r w:rsidRPr="004F23CA">
              <w:rPr>
                <w:rFonts w:cs="Arial"/>
                <w:color w:val="000000"/>
                <w:szCs w:val="20"/>
              </w:rPr>
              <w:t>2/20/2039</w:t>
            </w:r>
          </w:p>
        </w:tc>
      </w:tr>
      <w:tr w:rsidR="004F23CA" w:rsidRPr="004F23CA" w14:paraId="3FFC556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6F52F"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D90216" w14:textId="77777777" w:rsidR="004F23CA" w:rsidRPr="004F23CA" w:rsidRDefault="004F23CA" w:rsidP="004F23CA">
            <w:pPr>
              <w:rPr>
                <w:rFonts w:cs="Arial"/>
                <w:color w:val="000000"/>
                <w:szCs w:val="20"/>
              </w:rPr>
            </w:pPr>
            <w:r w:rsidRPr="004F23CA">
              <w:rPr>
                <w:rFonts w:cs="Arial"/>
                <w:color w:val="000000"/>
                <w:szCs w:val="20"/>
              </w:rPr>
              <w:t>1 Bremer</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1E30E" w14:textId="77777777" w:rsidR="004F23CA" w:rsidRPr="004F23CA" w:rsidRDefault="004F23CA" w:rsidP="004F23CA">
            <w:pPr>
              <w:jc w:val="center"/>
              <w:rPr>
                <w:rFonts w:cs="Arial"/>
                <w:color w:val="000000"/>
                <w:szCs w:val="20"/>
              </w:rPr>
            </w:pPr>
            <w:r w:rsidRPr="004F23CA">
              <w:rPr>
                <w:rFonts w:cs="Arial"/>
                <w:color w:val="000000"/>
                <w:szCs w:val="20"/>
              </w:rPr>
              <w:t>1/1/2007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05A7D" w14:textId="77777777" w:rsidR="004F23CA" w:rsidRPr="004F23CA" w:rsidRDefault="004F23CA" w:rsidP="004F23CA">
            <w:pPr>
              <w:jc w:val="center"/>
              <w:rPr>
                <w:rFonts w:cs="Arial"/>
                <w:color w:val="000000"/>
                <w:szCs w:val="20"/>
              </w:rPr>
            </w:pPr>
            <w:r w:rsidRPr="004F23CA">
              <w:rPr>
                <w:rFonts w:cs="Arial"/>
                <w:color w:val="000000"/>
                <w:szCs w:val="20"/>
              </w:rPr>
              <w:t>1/1/2057</w:t>
            </w:r>
          </w:p>
        </w:tc>
      </w:tr>
      <w:tr w:rsidR="004F23CA" w:rsidRPr="004F23CA" w14:paraId="7F3C509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57B7B"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EEB76"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BD62C" w14:textId="77777777" w:rsidR="004F23CA" w:rsidRPr="004F23CA" w:rsidRDefault="004F23CA" w:rsidP="004F23CA">
            <w:pPr>
              <w:jc w:val="center"/>
              <w:rPr>
                <w:rFonts w:cs="Arial"/>
                <w:color w:val="000000"/>
                <w:szCs w:val="20"/>
              </w:rPr>
            </w:pPr>
            <w:r w:rsidRPr="004F23CA">
              <w:rPr>
                <w:rFonts w:cs="Arial"/>
                <w:color w:val="000000"/>
                <w:szCs w:val="20"/>
              </w:rPr>
              <w:t>10/23/2008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43AB0" w14:textId="77777777" w:rsidR="004F23CA" w:rsidRPr="004F23CA" w:rsidRDefault="004F23CA" w:rsidP="004F23CA">
            <w:pPr>
              <w:jc w:val="center"/>
              <w:rPr>
                <w:rFonts w:cs="Arial"/>
                <w:color w:val="000000"/>
                <w:szCs w:val="20"/>
              </w:rPr>
            </w:pPr>
            <w:r w:rsidRPr="004F23CA">
              <w:rPr>
                <w:rFonts w:cs="Arial"/>
                <w:color w:val="000000"/>
                <w:szCs w:val="20"/>
              </w:rPr>
              <w:t>10/22/2058</w:t>
            </w:r>
          </w:p>
        </w:tc>
      </w:tr>
      <w:tr w:rsidR="004F23CA" w:rsidRPr="004F23CA" w14:paraId="183F9AA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DAB0"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17046"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CFB35" w14:textId="77777777" w:rsidR="004F23CA" w:rsidRPr="004F23CA" w:rsidRDefault="004F23CA" w:rsidP="004F23CA">
            <w:pPr>
              <w:jc w:val="center"/>
              <w:rPr>
                <w:rFonts w:cs="Arial"/>
                <w:color w:val="000000"/>
                <w:szCs w:val="20"/>
              </w:rPr>
            </w:pPr>
            <w:r w:rsidRPr="004F23CA">
              <w:rPr>
                <w:rFonts w:cs="Arial"/>
                <w:color w:val="000000"/>
                <w:szCs w:val="20"/>
              </w:rPr>
              <w:t>10/24/2008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DE88F" w14:textId="77777777" w:rsidR="004F23CA" w:rsidRPr="004F23CA" w:rsidRDefault="004F23CA" w:rsidP="004F23CA">
            <w:pPr>
              <w:jc w:val="center"/>
              <w:rPr>
                <w:rFonts w:cs="Arial"/>
                <w:color w:val="000000"/>
                <w:szCs w:val="20"/>
              </w:rPr>
            </w:pPr>
            <w:r w:rsidRPr="004F23CA">
              <w:rPr>
                <w:rFonts w:cs="Arial"/>
                <w:color w:val="000000"/>
                <w:szCs w:val="20"/>
              </w:rPr>
              <w:t>10/23/2058</w:t>
            </w:r>
          </w:p>
        </w:tc>
      </w:tr>
      <w:tr w:rsidR="004F23CA" w:rsidRPr="004F23CA" w14:paraId="0507305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CD74D"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C8E9E"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847F2" w14:textId="77777777" w:rsidR="004F23CA" w:rsidRPr="004F23CA" w:rsidRDefault="004F23CA" w:rsidP="004F23CA">
            <w:pPr>
              <w:jc w:val="center"/>
              <w:rPr>
                <w:rFonts w:cs="Arial"/>
                <w:color w:val="000000"/>
                <w:szCs w:val="20"/>
              </w:rPr>
            </w:pPr>
            <w:r w:rsidRPr="004F23CA">
              <w:rPr>
                <w:rFonts w:cs="Arial"/>
                <w:color w:val="000000"/>
                <w:szCs w:val="20"/>
              </w:rPr>
              <w:t>10/25/2008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CF532" w14:textId="77777777" w:rsidR="004F23CA" w:rsidRPr="004F23CA" w:rsidRDefault="004F23CA" w:rsidP="004F23CA">
            <w:pPr>
              <w:jc w:val="center"/>
              <w:rPr>
                <w:rFonts w:cs="Arial"/>
                <w:color w:val="000000"/>
                <w:szCs w:val="20"/>
              </w:rPr>
            </w:pPr>
            <w:r w:rsidRPr="004F23CA">
              <w:rPr>
                <w:rFonts w:cs="Arial"/>
                <w:color w:val="000000"/>
                <w:szCs w:val="20"/>
              </w:rPr>
              <w:t>10/24/2058</w:t>
            </w:r>
          </w:p>
        </w:tc>
      </w:tr>
      <w:tr w:rsidR="004F23CA" w:rsidRPr="004F23CA" w14:paraId="75D90083"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7341"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39108"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FA2AC" w14:textId="77777777" w:rsidR="004F23CA" w:rsidRPr="004F23CA" w:rsidRDefault="004F23CA" w:rsidP="004F23CA">
            <w:pPr>
              <w:jc w:val="center"/>
              <w:rPr>
                <w:rFonts w:cs="Arial"/>
                <w:color w:val="000000"/>
                <w:szCs w:val="20"/>
              </w:rPr>
            </w:pPr>
            <w:r w:rsidRPr="004F23CA">
              <w:rPr>
                <w:rFonts w:cs="Arial"/>
                <w:color w:val="000000"/>
                <w:szCs w:val="20"/>
              </w:rPr>
              <w:t>10/26/2008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04DE4" w14:textId="77777777" w:rsidR="004F23CA" w:rsidRPr="004F23CA" w:rsidRDefault="004F23CA" w:rsidP="004F23CA">
            <w:pPr>
              <w:jc w:val="center"/>
              <w:rPr>
                <w:rFonts w:cs="Arial"/>
                <w:color w:val="000000"/>
                <w:szCs w:val="20"/>
              </w:rPr>
            </w:pPr>
            <w:r w:rsidRPr="004F23CA">
              <w:rPr>
                <w:rFonts w:cs="Arial"/>
                <w:color w:val="000000"/>
                <w:szCs w:val="20"/>
              </w:rPr>
              <w:t>10/25/2058</w:t>
            </w:r>
          </w:p>
        </w:tc>
      </w:tr>
      <w:tr w:rsidR="004F23CA" w:rsidRPr="004F23CA" w14:paraId="65F04EC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95E1"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3AEF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CAFA5" w14:textId="77777777" w:rsidR="004F23CA" w:rsidRPr="004F23CA" w:rsidRDefault="004F23CA" w:rsidP="004F23CA">
            <w:pPr>
              <w:jc w:val="center"/>
              <w:rPr>
                <w:rFonts w:cs="Arial"/>
                <w:color w:val="000000"/>
                <w:szCs w:val="20"/>
              </w:rPr>
            </w:pPr>
            <w:r w:rsidRPr="004F23CA">
              <w:rPr>
                <w:rFonts w:cs="Arial"/>
                <w:color w:val="000000"/>
                <w:szCs w:val="20"/>
              </w:rPr>
              <w:t>10/27/2008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B2C54" w14:textId="77777777" w:rsidR="004F23CA" w:rsidRPr="004F23CA" w:rsidRDefault="004F23CA" w:rsidP="004F23CA">
            <w:pPr>
              <w:jc w:val="center"/>
              <w:rPr>
                <w:rFonts w:cs="Arial"/>
                <w:color w:val="000000"/>
                <w:szCs w:val="20"/>
              </w:rPr>
            </w:pPr>
            <w:r w:rsidRPr="004F23CA">
              <w:rPr>
                <w:rFonts w:cs="Arial"/>
                <w:color w:val="000000"/>
                <w:szCs w:val="20"/>
              </w:rPr>
              <w:t>10/26/2058</w:t>
            </w:r>
          </w:p>
        </w:tc>
      </w:tr>
      <w:tr w:rsidR="004F23CA" w:rsidRPr="004F23CA" w14:paraId="5793DD35"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A43D0"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86C8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7B149" w14:textId="77777777" w:rsidR="004F23CA" w:rsidRPr="004F23CA" w:rsidRDefault="004F23CA" w:rsidP="004F23CA">
            <w:pPr>
              <w:jc w:val="center"/>
              <w:rPr>
                <w:rFonts w:cs="Arial"/>
                <w:color w:val="000000"/>
                <w:szCs w:val="20"/>
              </w:rPr>
            </w:pPr>
            <w:r w:rsidRPr="004F23CA">
              <w:rPr>
                <w:rFonts w:cs="Arial"/>
                <w:color w:val="000000"/>
                <w:szCs w:val="20"/>
              </w:rPr>
              <w:t>10/28/2008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9133D" w14:textId="77777777" w:rsidR="004F23CA" w:rsidRPr="004F23CA" w:rsidRDefault="004F23CA" w:rsidP="004F23CA">
            <w:pPr>
              <w:jc w:val="center"/>
              <w:rPr>
                <w:rFonts w:cs="Arial"/>
                <w:color w:val="000000"/>
                <w:szCs w:val="20"/>
              </w:rPr>
            </w:pPr>
            <w:r w:rsidRPr="004F23CA">
              <w:rPr>
                <w:rFonts w:cs="Arial"/>
                <w:color w:val="000000"/>
                <w:szCs w:val="20"/>
              </w:rPr>
              <w:t>10/27/2058</w:t>
            </w:r>
          </w:p>
        </w:tc>
      </w:tr>
      <w:tr w:rsidR="004F23CA" w:rsidRPr="004F23CA" w14:paraId="49E7C7C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A101F"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9553E"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F81F82" w14:textId="77777777" w:rsidR="004F23CA" w:rsidRPr="004F23CA" w:rsidRDefault="004F23CA" w:rsidP="004F23CA">
            <w:pPr>
              <w:jc w:val="center"/>
              <w:rPr>
                <w:rFonts w:cs="Arial"/>
                <w:color w:val="000000"/>
                <w:szCs w:val="20"/>
              </w:rPr>
            </w:pPr>
            <w:r w:rsidRPr="004F23CA">
              <w:rPr>
                <w:rFonts w:cs="Arial"/>
                <w:color w:val="000000"/>
                <w:szCs w:val="20"/>
              </w:rPr>
              <w:t>10/29/2008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DC553" w14:textId="77777777" w:rsidR="004F23CA" w:rsidRPr="004F23CA" w:rsidRDefault="004F23CA" w:rsidP="004F23CA">
            <w:pPr>
              <w:jc w:val="center"/>
              <w:rPr>
                <w:rFonts w:cs="Arial"/>
                <w:color w:val="000000"/>
                <w:szCs w:val="20"/>
              </w:rPr>
            </w:pPr>
            <w:r w:rsidRPr="004F23CA">
              <w:rPr>
                <w:rFonts w:cs="Arial"/>
                <w:color w:val="000000"/>
                <w:szCs w:val="20"/>
              </w:rPr>
              <w:t>10/28/2058</w:t>
            </w:r>
          </w:p>
        </w:tc>
      </w:tr>
      <w:tr w:rsidR="004F23CA" w:rsidRPr="004F23CA" w14:paraId="7E35521A"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350D"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5204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4BEA8" w14:textId="77777777" w:rsidR="004F23CA" w:rsidRPr="004F23CA" w:rsidRDefault="004F23CA" w:rsidP="004F23CA">
            <w:pPr>
              <w:jc w:val="center"/>
              <w:rPr>
                <w:rFonts w:cs="Arial"/>
                <w:color w:val="000000"/>
                <w:szCs w:val="20"/>
              </w:rPr>
            </w:pPr>
            <w:r w:rsidRPr="004F23CA">
              <w:rPr>
                <w:rFonts w:cs="Arial"/>
                <w:color w:val="000000"/>
                <w:szCs w:val="20"/>
              </w:rPr>
              <w:t>10/30/2008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2EB9A" w14:textId="77777777" w:rsidR="004F23CA" w:rsidRPr="004F23CA" w:rsidRDefault="004F23CA" w:rsidP="004F23CA">
            <w:pPr>
              <w:jc w:val="center"/>
              <w:rPr>
                <w:rFonts w:cs="Arial"/>
                <w:color w:val="000000"/>
                <w:szCs w:val="20"/>
              </w:rPr>
            </w:pPr>
            <w:r w:rsidRPr="004F23CA">
              <w:rPr>
                <w:rFonts w:cs="Arial"/>
                <w:color w:val="000000"/>
                <w:szCs w:val="20"/>
              </w:rPr>
              <w:t>10/29/2058</w:t>
            </w:r>
          </w:p>
        </w:tc>
      </w:tr>
      <w:tr w:rsidR="004F23CA" w:rsidRPr="004F23CA" w14:paraId="2A5E85A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A382"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C9A01"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CE1CC" w14:textId="77777777" w:rsidR="004F23CA" w:rsidRPr="004F23CA" w:rsidRDefault="004F23CA" w:rsidP="004F23CA">
            <w:pPr>
              <w:jc w:val="center"/>
              <w:rPr>
                <w:rFonts w:cs="Arial"/>
                <w:color w:val="000000"/>
                <w:szCs w:val="20"/>
              </w:rPr>
            </w:pPr>
            <w:r w:rsidRPr="004F23CA">
              <w:rPr>
                <w:rFonts w:cs="Arial"/>
                <w:color w:val="000000"/>
                <w:szCs w:val="20"/>
              </w:rPr>
              <w:t>10/31/2008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F02E3" w14:textId="77777777" w:rsidR="004F23CA" w:rsidRPr="004F23CA" w:rsidRDefault="004F23CA" w:rsidP="004F23CA">
            <w:pPr>
              <w:jc w:val="center"/>
              <w:rPr>
                <w:rFonts w:cs="Arial"/>
                <w:color w:val="000000"/>
                <w:szCs w:val="20"/>
              </w:rPr>
            </w:pPr>
            <w:r w:rsidRPr="004F23CA">
              <w:rPr>
                <w:rFonts w:cs="Arial"/>
                <w:color w:val="000000"/>
                <w:szCs w:val="20"/>
              </w:rPr>
              <w:t>10/30/2058</w:t>
            </w:r>
          </w:p>
        </w:tc>
      </w:tr>
      <w:tr w:rsidR="004F23CA" w:rsidRPr="004F23CA" w14:paraId="7655298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9FA37"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40B957"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322A3" w14:textId="77777777" w:rsidR="004F23CA" w:rsidRPr="004F23CA" w:rsidRDefault="004F23CA" w:rsidP="004F23CA">
            <w:pPr>
              <w:jc w:val="center"/>
              <w:rPr>
                <w:rFonts w:cs="Arial"/>
                <w:color w:val="000000"/>
                <w:szCs w:val="20"/>
              </w:rPr>
            </w:pPr>
            <w:r w:rsidRPr="004F23CA">
              <w:rPr>
                <w:rFonts w:cs="Arial"/>
                <w:color w:val="000000"/>
                <w:szCs w:val="20"/>
              </w:rPr>
              <w:t>11/1/2008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48D7F" w14:textId="77777777" w:rsidR="004F23CA" w:rsidRPr="004F23CA" w:rsidRDefault="004F23CA" w:rsidP="004F23CA">
            <w:pPr>
              <w:jc w:val="center"/>
              <w:rPr>
                <w:rFonts w:cs="Arial"/>
                <w:color w:val="000000"/>
                <w:szCs w:val="20"/>
              </w:rPr>
            </w:pPr>
            <w:r w:rsidRPr="004F23CA">
              <w:rPr>
                <w:rFonts w:cs="Arial"/>
                <w:color w:val="000000"/>
                <w:szCs w:val="20"/>
              </w:rPr>
              <w:t>10/31/2058</w:t>
            </w:r>
          </w:p>
        </w:tc>
      </w:tr>
      <w:tr w:rsidR="004F23CA" w:rsidRPr="004F23CA" w14:paraId="17603A4D"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66167"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38BF4"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CD9D3" w14:textId="77777777" w:rsidR="004F23CA" w:rsidRPr="004F23CA" w:rsidRDefault="004F23CA" w:rsidP="004F23CA">
            <w:pPr>
              <w:jc w:val="center"/>
              <w:rPr>
                <w:rFonts w:cs="Arial"/>
                <w:color w:val="000000"/>
                <w:szCs w:val="20"/>
              </w:rPr>
            </w:pPr>
            <w:r w:rsidRPr="004F23CA">
              <w:rPr>
                <w:rFonts w:cs="Arial"/>
                <w:color w:val="000000"/>
                <w:szCs w:val="20"/>
              </w:rPr>
              <w:t>11/2/2008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D2062" w14:textId="77777777" w:rsidR="004F23CA" w:rsidRPr="004F23CA" w:rsidRDefault="004F23CA" w:rsidP="004F23CA">
            <w:pPr>
              <w:jc w:val="center"/>
              <w:rPr>
                <w:rFonts w:cs="Arial"/>
                <w:color w:val="000000"/>
                <w:szCs w:val="20"/>
              </w:rPr>
            </w:pPr>
            <w:r w:rsidRPr="004F23CA">
              <w:rPr>
                <w:rFonts w:cs="Arial"/>
                <w:color w:val="000000"/>
                <w:szCs w:val="20"/>
              </w:rPr>
              <w:t>11/1/2058</w:t>
            </w:r>
          </w:p>
        </w:tc>
      </w:tr>
      <w:tr w:rsidR="004F23CA" w:rsidRPr="004F23CA" w14:paraId="1D801C9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9689F"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F94FF"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3D06E" w14:textId="77777777" w:rsidR="004F23CA" w:rsidRPr="004F23CA" w:rsidRDefault="004F23CA" w:rsidP="004F23CA">
            <w:pPr>
              <w:jc w:val="center"/>
              <w:rPr>
                <w:rFonts w:cs="Arial"/>
                <w:color w:val="000000"/>
                <w:szCs w:val="20"/>
              </w:rPr>
            </w:pPr>
            <w:r w:rsidRPr="004F23CA">
              <w:rPr>
                <w:rFonts w:cs="Arial"/>
                <w:color w:val="000000"/>
                <w:szCs w:val="20"/>
              </w:rPr>
              <w:t>11/3/2008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FE4FA" w14:textId="77777777" w:rsidR="004F23CA" w:rsidRPr="004F23CA" w:rsidRDefault="004F23CA" w:rsidP="004F23CA">
            <w:pPr>
              <w:jc w:val="center"/>
              <w:rPr>
                <w:rFonts w:cs="Arial"/>
                <w:color w:val="000000"/>
                <w:szCs w:val="20"/>
              </w:rPr>
            </w:pPr>
            <w:r w:rsidRPr="004F23CA">
              <w:rPr>
                <w:rFonts w:cs="Arial"/>
                <w:color w:val="000000"/>
                <w:szCs w:val="20"/>
              </w:rPr>
              <w:t>11/2/2058</w:t>
            </w:r>
          </w:p>
        </w:tc>
      </w:tr>
      <w:tr w:rsidR="004F23CA" w:rsidRPr="004F23CA" w14:paraId="10A3C792"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4C708"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46E60"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B2501" w14:textId="77777777" w:rsidR="004F23CA" w:rsidRPr="004F23CA" w:rsidRDefault="004F23CA" w:rsidP="004F23CA">
            <w:pPr>
              <w:jc w:val="center"/>
              <w:rPr>
                <w:rFonts w:cs="Arial"/>
                <w:color w:val="000000"/>
                <w:szCs w:val="20"/>
              </w:rPr>
            </w:pPr>
            <w:r w:rsidRPr="004F23CA">
              <w:rPr>
                <w:rFonts w:cs="Arial"/>
                <w:color w:val="000000"/>
                <w:szCs w:val="20"/>
              </w:rPr>
              <w:t>11/4/2008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75FD2" w14:textId="77777777" w:rsidR="004F23CA" w:rsidRPr="004F23CA" w:rsidRDefault="004F23CA" w:rsidP="004F23CA">
            <w:pPr>
              <w:jc w:val="center"/>
              <w:rPr>
                <w:rFonts w:cs="Arial"/>
                <w:color w:val="000000"/>
                <w:szCs w:val="20"/>
              </w:rPr>
            </w:pPr>
            <w:r w:rsidRPr="004F23CA">
              <w:rPr>
                <w:rFonts w:cs="Arial"/>
                <w:color w:val="000000"/>
                <w:szCs w:val="20"/>
              </w:rPr>
              <w:t>11/3/2058</w:t>
            </w:r>
          </w:p>
        </w:tc>
      </w:tr>
      <w:tr w:rsidR="004F23CA" w:rsidRPr="004F23CA" w14:paraId="22AD327E"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DC11" w14:textId="77777777" w:rsidR="004F23CA" w:rsidRPr="004F23CA" w:rsidRDefault="004F23CA" w:rsidP="004F23CA">
            <w:pPr>
              <w:rPr>
                <w:rFonts w:cs="Arial"/>
                <w:color w:val="000000"/>
                <w:szCs w:val="20"/>
              </w:rPr>
            </w:pPr>
            <w:r w:rsidRPr="004F23CA">
              <w:rPr>
                <w:rFonts w:cs="Arial"/>
                <w:color w:val="000000"/>
                <w:szCs w:val="20"/>
              </w:rPr>
              <w:t>Housing Rehabilitation Project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66294"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0788C" w14:textId="77777777" w:rsidR="004F23CA" w:rsidRPr="004F23CA" w:rsidRDefault="004F23CA" w:rsidP="004F23CA">
            <w:pPr>
              <w:jc w:val="center"/>
              <w:rPr>
                <w:rFonts w:cs="Arial"/>
                <w:color w:val="000000"/>
                <w:szCs w:val="20"/>
              </w:rPr>
            </w:pPr>
            <w:r w:rsidRPr="004F23CA">
              <w:rPr>
                <w:rFonts w:cs="Arial"/>
                <w:color w:val="000000"/>
                <w:szCs w:val="20"/>
              </w:rPr>
              <w:t>11/5/2008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D4FDA" w14:textId="77777777" w:rsidR="004F23CA" w:rsidRPr="004F23CA" w:rsidRDefault="004F23CA" w:rsidP="004F23CA">
            <w:pPr>
              <w:jc w:val="center"/>
              <w:rPr>
                <w:rFonts w:cs="Arial"/>
                <w:color w:val="000000"/>
                <w:szCs w:val="20"/>
              </w:rPr>
            </w:pPr>
            <w:r w:rsidRPr="004F23CA">
              <w:rPr>
                <w:rFonts w:cs="Arial"/>
                <w:color w:val="000000"/>
                <w:szCs w:val="20"/>
              </w:rPr>
              <w:t>11/4/2058</w:t>
            </w:r>
          </w:p>
        </w:tc>
      </w:tr>
      <w:tr w:rsidR="004F23CA" w:rsidRPr="004F23CA" w14:paraId="1E6E1A5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6CC82" w14:textId="77777777" w:rsidR="004F23CA" w:rsidRPr="004F23CA" w:rsidRDefault="004F23CA" w:rsidP="004F23CA">
            <w:pPr>
              <w:rPr>
                <w:rFonts w:cs="Arial"/>
                <w:color w:val="000000"/>
                <w:szCs w:val="20"/>
              </w:rPr>
            </w:pPr>
            <w:r w:rsidRPr="004F23CA">
              <w:rPr>
                <w:rFonts w:cs="Arial"/>
                <w:color w:val="000000"/>
                <w:szCs w:val="20"/>
              </w:rPr>
              <w:t>City Housing Construction</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09509"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22CC5" w14:textId="77777777" w:rsidR="004F23CA" w:rsidRPr="004F23CA" w:rsidRDefault="004F23CA" w:rsidP="004F23CA">
            <w:pPr>
              <w:jc w:val="center"/>
              <w:rPr>
                <w:rFonts w:cs="Arial"/>
                <w:color w:val="000000"/>
                <w:szCs w:val="20"/>
              </w:rPr>
            </w:pPr>
            <w:r w:rsidRPr="004F23CA">
              <w:rPr>
                <w:rFonts w:cs="Arial"/>
                <w:color w:val="000000"/>
                <w:szCs w:val="20"/>
              </w:rPr>
              <w:t>11/6/2008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C6BBE" w14:textId="77777777" w:rsidR="004F23CA" w:rsidRPr="004F23CA" w:rsidRDefault="004F23CA" w:rsidP="004F23CA">
            <w:pPr>
              <w:jc w:val="center"/>
              <w:rPr>
                <w:rFonts w:cs="Arial"/>
                <w:color w:val="000000"/>
                <w:szCs w:val="20"/>
              </w:rPr>
            </w:pPr>
            <w:r w:rsidRPr="004F23CA">
              <w:rPr>
                <w:rFonts w:cs="Arial"/>
                <w:color w:val="000000"/>
                <w:szCs w:val="20"/>
              </w:rPr>
              <w:t>11/5/2058</w:t>
            </w:r>
          </w:p>
        </w:tc>
      </w:tr>
      <w:tr w:rsidR="004F23CA" w:rsidRPr="004F23CA" w14:paraId="2B7E265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2592" w14:textId="77777777" w:rsidR="004F23CA" w:rsidRPr="004F23CA" w:rsidRDefault="004F23CA" w:rsidP="004F23CA">
            <w:pPr>
              <w:rPr>
                <w:rFonts w:cs="Arial"/>
                <w:color w:val="000000"/>
                <w:szCs w:val="20"/>
              </w:rPr>
            </w:pPr>
            <w:r w:rsidRPr="004F23CA">
              <w:rPr>
                <w:rFonts w:cs="Arial"/>
                <w:color w:val="000000"/>
                <w:szCs w:val="20"/>
              </w:rPr>
              <w:t>City Housing Construction</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EFAB9"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57D3F" w14:textId="77777777" w:rsidR="004F23CA" w:rsidRPr="004F23CA" w:rsidRDefault="004F23CA" w:rsidP="004F23CA">
            <w:pPr>
              <w:jc w:val="center"/>
              <w:rPr>
                <w:rFonts w:cs="Arial"/>
                <w:color w:val="000000"/>
                <w:szCs w:val="20"/>
              </w:rPr>
            </w:pPr>
            <w:r w:rsidRPr="004F23CA">
              <w:rPr>
                <w:rFonts w:cs="Arial"/>
                <w:color w:val="000000"/>
                <w:szCs w:val="20"/>
              </w:rPr>
              <w:t>11/7/2008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2D0BA" w14:textId="77777777" w:rsidR="004F23CA" w:rsidRPr="004F23CA" w:rsidRDefault="004F23CA" w:rsidP="004F23CA">
            <w:pPr>
              <w:jc w:val="center"/>
              <w:rPr>
                <w:rFonts w:cs="Arial"/>
                <w:color w:val="000000"/>
                <w:szCs w:val="20"/>
              </w:rPr>
            </w:pPr>
            <w:r w:rsidRPr="004F23CA">
              <w:rPr>
                <w:rFonts w:cs="Arial"/>
                <w:color w:val="000000"/>
                <w:szCs w:val="20"/>
              </w:rPr>
              <w:t>11/6/2058</w:t>
            </w:r>
          </w:p>
        </w:tc>
      </w:tr>
      <w:tr w:rsidR="004F23CA" w:rsidRPr="004F23CA" w14:paraId="129AB700"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1CF58" w14:textId="77777777" w:rsidR="004F23CA" w:rsidRPr="004F23CA" w:rsidRDefault="004F23CA" w:rsidP="004F23CA">
            <w:pPr>
              <w:rPr>
                <w:rFonts w:cs="Arial"/>
                <w:color w:val="000000"/>
                <w:szCs w:val="20"/>
              </w:rPr>
            </w:pPr>
            <w:r w:rsidRPr="004F23CA">
              <w:rPr>
                <w:rFonts w:cs="Arial"/>
                <w:color w:val="000000"/>
                <w:szCs w:val="20"/>
              </w:rPr>
              <w:t>City Housing Construction</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C207B"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713C2" w14:textId="77777777" w:rsidR="004F23CA" w:rsidRPr="004F23CA" w:rsidRDefault="004F23CA" w:rsidP="004F23CA">
            <w:pPr>
              <w:jc w:val="center"/>
              <w:rPr>
                <w:rFonts w:cs="Arial"/>
                <w:color w:val="000000"/>
                <w:szCs w:val="20"/>
              </w:rPr>
            </w:pPr>
            <w:r w:rsidRPr="004F23CA">
              <w:rPr>
                <w:rFonts w:cs="Arial"/>
                <w:color w:val="000000"/>
                <w:szCs w:val="20"/>
              </w:rPr>
              <w:t>11/8/2008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DC3BC" w14:textId="77777777" w:rsidR="004F23CA" w:rsidRPr="004F23CA" w:rsidRDefault="004F23CA" w:rsidP="004F23CA">
            <w:pPr>
              <w:jc w:val="center"/>
              <w:rPr>
                <w:rFonts w:cs="Arial"/>
                <w:color w:val="000000"/>
                <w:szCs w:val="20"/>
              </w:rPr>
            </w:pPr>
            <w:r w:rsidRPr="004F23CA">
              <w:rPr>
                <w:rFonts w:cs="Arial"/>
                <w:color w:val="000000"/>
                <w:szCs w:val="20"/>
              </w:rPr>
              <w:t>11/7/2058</w:t>
            </w:r>
          </w:p>
        </w:tc>
      </w:tr>
      <w:tr w:rsidR="004F23CA" w:rsidRPr="004F23CA" w14:paraId="0E975B0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B3B36" w14:textId="77777777" w:rsidR="004F23CA" w:rsidRPr="004F23CA" w:rsidRDefault="004F23CA" w:rsidP="004F23CA">
            <w:pPr>
              <w:rPr>
                <w:rFonts w:cs="Arial"/>
                <w:color w:val="000000"/>
                <w:szCs w:val="20"/>
              </w:rPr>
            </w:pPr>
            <w:r w:rsidRPr="004F23CA">
              <w:rPr>
                <w:rFonts w:cs="Arial"/>
                <w:color w:val="000000"/>
                <w:szCs w:val="20"/>
              </w:rPr>
              <w:t>City Housing Construction</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B7A02"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46E14" w14:textId="77777777" w:rsidR="004F23CA" w:rsidRPr="004F23CA" w:rsidRDefault="004F23CA" w:rsidP="004F23CA">
            <w:pPr>
              <w:jc w:val="center"/>
              <w:rPr>
                <w:rFonts w:cs="Arial"/>
                <w:color w:val="000000"/>
                <w:szCs w:val="20"/>
              </w:rPr>
            </w:pPr>
            <w:r w:rsidRPr="004F23CA">
              <w:rPr>
                <w:rFonts w:cs="Arial"/>
                <w:color w:val="000000"/>
                <w:szCs w:val="20"/>
              </w:rPr>
              <w:t>11/9/2008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FB673" w14:textId="77777777" w:rsidR="004F23CA" w:rsidRPr="004F23CA" w:rsidRDefault="004F23CA" w:rsidP="004F23CA">
            <w:pPr>
              <w:jc w:val="center"/>
              <w:rPr>
                <w:rFonts w:cs="Arial"/>
                <w:color w:val="000000"/>
                <w:szCs w:val="20"/>
              </w:rPr>
            </w:pPr>
            <w:r w:rsidRPr="004F23CA">
              <w:rPr>
                <w:rFonts w:cs="Arial"/>
                <w:color w:val="000000"/>
                <w:szCs w:val="20"/>
              </w:rPr>
              <w:t>11/8/2058</w:t>
            </w:r>
          </w:p>
        </w:tc>
      </w:tr>
      <w:tr w:rsidR="004F23CA" w:rsidRPr="004F23CA" w14:paraId="6561166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C021E" w14:textId="77777777" w:rsidR="004F23CA" w:rsidRPr="004F23CA" w:rsidRDefault="004F23CA" w:rsidP="004F23CA">
            <w:pPr>
              <w:rPr>
                <w:rFonts w:cs="Arial"/>
                <w:color w:val="000000"/>
                <w:szCs w:val="20"/>
              </w:rPr>
            </w:pPr>
            <w:r w:rsidRPr="004F23CA">
              <w:rPr>
                <w:rFonts w:cs="Arial"/>
                <w:color w:val="000000"/>
                <w:szCs w:val="20"/>
              </w:rPr>
              <w:t>City Housing Construction</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A2C4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1E23B" w14:textId="77777777" w:rsidR="004F23CA" w:rsidRPr="004F23CA" w:rsidRDefault="004F23CA" w:rsidP="004F23CA">
            <w:pPr>
              <w:jc w:val="center"/>
              <w:rPr>
                <w:rFonts w:cs="Arial"/>
                <w:color w:val="000000"/>
                <w:szCs w:val="20"/>
              </w:rPr>
            </w:pPr>
            <w:r w:rsidRPr="004F23CA">
              <w:rPr>
                <w:rFonts w:cs="Arial"/>
                <w:color w:val="000000"/>
                <w:szCs w:val="20"/>
              </w:rPr>
              <w:t>11/10/2008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0D8FD" w14:textId="77777777" w:rsidR="004F23CA" w:rsidRPr="004F23CA" w:rsidRDefault="004F23CA" w:rsidP="004F23CA">
            <w:pPr>
              <w:jc w:val="center"/>
              <w:rPr>
                <w:rFonts w:cs="Arial"/>
                <w:color w:val="000000"/>
                <w:szCs w:val="20"/>
              </w:rPr>
            </w:pPr>
            <w:r w:rsidRPr="004F23CA">
              <w:rPr>
                <w:rFonts w:cs="Arial"/>
                <w:color w:val="000000"/>
                <w:szCs w:val="20"/>
              </w:rPr>
              <w:t>11/9/2058</w:t>
            </w:r>
          </w:p>
        </w:tc>
      </w:tr>
      <w:tr w:rsidR="004F23CA" w:rsidRPr="004F23CA" w14:paraId="25D31E59"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686D3" w14:textId="77777777" w:rsidR="004F23CA" w:rsidRPr="004F23CA" w:rsidRDefault="004F23CA" w:rsidP="004F23CA">
            <w:pPr>
              <w:rPr>
                <w:rFonts w:cs="Arial"/>
                <w:color w:val="000000"/>
                <w:szCs w:val="20"/>
              </w:rPr>
            </w:pPr>
            <w:r w:rsidRPr="004F23CA">
              <w:rPr>
                <w:rFonts w:cs="Arial"/>
                <w:color w:val="000000"/>
                <w:szCs w:val="20"/>
              </w:rPr>
              <w:t>City Housing Construction</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F3914"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D6160" w14:textId="77777777" w:rsidR="004F23CA" w:rsidRPr="004F23CA" w:rsidRDefault="004F23CA" w:rsidP="004F23CA">
            <w:pPr>
              <w:jc w:val="center"/>
              <w:rPr>
                <w:rFonts w:cs="Arial"/>
                <w:color w:val="000000"/>
                <w:szCs w:val="20"/>
              </w:rPr>
            </w:pPr>
            <w:r w:rsidRPr="004F23CA">
              <w:rPr>
                <w:rFonts w:cs="Arial"/>
                <w:color w:val="000000"/>
                <w:szCs w:val="20"/>
              </w:rPr>
              <w:t>11/11/2008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D60AF" w14:textId="77777777" w:rsidR="004F23CA" w:rsidRPr="004F23CA" w:rsidRDefault="004F23CA" w:rsidP="004F23CA">
            <w:pPr>
              <w:jc w:val="center"/>
              <w:rPr>
                <w:rFonts w:cs="Arial"/>
                <w:color w:val="000000"/>
                <w:szCs w:val="20"/>
              </w:rPr>
            </w:pPr>
            <w:r w:rsidRPr="004F23CA">
              <w:rPr>
                <w:rFonts w:cs="Arial"/>
                <w:color w:val="000000"/>
                <w:szCs w:val="20"/>
              </w:rPr>
              <w:t>11/10/2058</w:t>
            </w:r>
          </w:p>
        </w:tc>
      </w:tr>
      <w:tr w:rsidR="004F23CA" w:rsidRPr="004F23CA" w14:paraId="3558E787"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01114" w14:textId="77777777" w:rsidR="004F23CA" w:rsidRPr="004F23CA" w:rsidRDefault="004F23CA" w:rsidP="004F23CA">
            <w:pPr>
              <w:rPr>
                <w:rFonts w:cs="Arial"/>
                <w:color w:val="000000"/>
                <w:szCs w:val="20"/>
              </w:rPr>
            </w:pPr>
            <w:r w:rsidRPr="004F23CA">
              <w:rPr>
                <w:rFonts w:cs="Arial"/>
                <w:color w:val="000000"/>
                <w:szCs w:val="20"/>
              </w:rPr>
              <w:t>City Housing Construction</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BF073"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A450DB" w14:textId="77777777" w:rsidR="004F23CA" w:rsidRPr="004F23CA" w:rsidRDefault="004F23CA" w:rsidP="004F23CA">
            <w:pPr>
              <w:jc w:val="center"/>
              <w:rPr>
                <w:rFonts w:cs="Arial"/>
                <w:color w:val="000000"/>
                <w:szCs w:val="20"/>
              </w:rPr>
            </w:pPr>
            <w:r w:rsidRPr="004F23CA">
              <w:rPr>
                <w:rFonts w:cs="Arial"/>
                <w:color w:val="000000"/>
                <w:szCs w:val="20"/>
              </w:rPr>
              <w:t>11/12/2008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EBCAC" w14:textId="77777777" w:rsidR="004F23CA" w:rsidRPr="004F23CA" w:rsidRDefault="004F23CA" w:rsidP="004F23CA">
            <w:pPr>
              <w:jc w:val="center"/>
              <w:rPr>
                <w:rFonts w:cs="Arial"/>
                <w:color w:val="000000"/>
                <w:szCs w:val="20"/>
              </w:rPr>
            </w:pPr>
            <w:r w:rsidRPr="004F23CA">
              <w:rPr>
                <w:rFonts w:cs="Arial"/>
                <w:color w:val="000000"/>
                <w:szCs w:val="20"/>
              </w:rPr>
              <w:t>11/11/2058</w:t>
            </w:r>
          </w:p>
        </w:tc>
      </w:tr>
      <w:tr w:rsidR="004F23CA" w:rsidRPr="004F23CA" w14:paraId="2814F7D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7061A" w14:textId="77777777" w:rsidR="004F23CA" w:rsidRPr="004F23CA" w:rsidRDefault="004F23CA" w:rsidP="004F23CA">
            <w:pPr>
              <w:rPr>
                <w:rFonts w:cs="Arial"/>
                <w:color w:val="000000"/>
                <w:szCs w:val="20"/>
              </w:rPr>
            </w:pPr>
            <w:r w:rsidRPr="004F23CA">
              <w:rPr>
                <w:rFonts w:cs="Arial"/>
                <w:color w:val="000000"/>
                <w:szCs w:val="20"/>
              </w:rPr>
              <w:t>City Housing Construction</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1E80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FA43F" w14:textId="77777777" w:rsidR="004F23CA" w:rsidRPr="004F23CA" w:rsidRDefault="004F23CA" w:rsidP="004F23CA">
            <w:pPr>
              <w:jc w:val="center"/>
              <w:rPr>
                <w:rFonts w:cs="Arial"/>
                <w:color w:val="000000"/>
                <w:szCs w:val="20"/>
              </w:rPr>
            </w:pPr>
            <w:r w:rsidRPr="004F23CA">
              <w:rPr>
                <w:rFonts w:cs="Arial"/>
                <w:color w:val="000000"/>
                <w:szCs w:val="20"/>
              </w:rPr>
              <w:t>11/13/2008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CCBD8" w14:textId="77777777" w:rsidR="004F23CA" w:rsidRPr="004F23CA" w:rsidRDefault="004F23CA" w:rsidP="004F23CA">
            <w:pPr>
              <w:jc w:val="center"/>
              <w:rPr>
                <w:rFonts w:cs="Arial"/>
                <w:color w:val="000000"/>
                <w:szCs w:val="20"/>
              </w:rPr>
            </w:pPr>
            <w:r w:rsidRPr="004F23CA">
              <w:rPr>
                <w:rFonts w:cs="Arial"/>
                <w:color w:val="000000"/>
                <w:szCs w:val="20"/>
              </w:rPr>
              <w:t>11/12/2058</w:t>
            </w:r>
          </w:p>
        </w:tc>
      </w:tr>
      <w:tr w:rsidR="004F23CA" w:rsidRPr="004F23CA" w14:paraId="7FE0C17C"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48277"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DF222"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FEF991" w14:textId="77777777" w:rsidR="004F23CA" w:rsidRPr="004F23CA" w:rsidRDefault="004F23CA" w:rsidP="004F23CA">
            <w:pPr>
              <w:jc w:val="center"/>
              <w:rPr>
                <w:rFonts w:cs="Arial"/>
                <w:color w:val="000000"/>
                <w:szCs w:val="20"/>
              </w:rPr>
            </w:pPr>
            <w:r w:rsidRPr="004F23CA">
              <w:rPr>
                <w:rFonts w:cs="Arial"/>
                <w:color w:val="000000"/>
                <w:szCs w:val="20"/>
              </w:rPr>
              <w:t>11/14/2008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8E2C6" w14:textId="77777777" w:rsidR="004F23CA" w:rsidRPr="004F23CA" w:rsidRDefault="004F23CA" w:rsidP="004F23CA">
            <w:pPr>
              <w:jc w:val="center"/>
              <w:rPr>
                <w:rFonts w:cs="Arial"/>
                <w:color w:val="000000"/>
                <w:szCs w:val="20"/>
              </w:rPr>
            </w:pPr>
            <w:r w:rsidRPr="004F23CA">
              <w:rPr>
                <w:rFonts w:cs="Arial"/>
                <w:color w:val="000000"/>
                <w:szCs w:val="20"/>
              </w:rPr>
              <w:t>11/13/2058</w:t>
            </w:r>
          </w:p>
        </w:tc>
      </w:tr>
      <w:tr w:rsidR="004F23CA" w:rsidRPr="004F23CA" w14:paraId="0E8297B1"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BA01D"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A724A"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F8787" w14:textId="77777777" w:rsidR="004F23CA" w:rsidRPr="004F23CA" w:rsidRDefault="004F23CA" w:rsidP="004F23CA">
            <w:pPr>
              <w:jc w:val="center"/>
              <w:rPr>
                <w:rFonts w:cs="Arial"/>
                <w:color w:val="000000"/>
                <w:szCs w:val="20"/>
              </w:rPr>
            </w:pPr>
            <w:r w:rsidRPr="004F23CA">
              <w:rPr>
                <w:rFonts w:cs="Arial"/>
                <w:color w:val="000000"/>
                <w:szCs w:val="20"/>
              </w:rPr>
              <w:t>11/15/2008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F2F9E" w14:textId="77777777" w:rsidR="004F23CA" w:rsidRPr="004F23CA" w:rsidRDefault="004F23CA" w:rsidP="004F23CA">
            <w:pPr>
              <w:jc w:val="center"/>
              <w:rPr>
                <w:rFonts w:cs="Arial"/>
                <w:color w:val="000000"/>
                <w:szCs w:val="20"/>
              </w:rPr>
            </w:pPr>
            <w:r w:rsidRPr="004F23CA">
              <w:rPr>
                <w:rFonts w:cs="Arial"/>
                <w:color w:val="000000"/>
                <w:szCs w:val="20"/>
              </w:rPr>
              <w:t>11/14/2058</w:t>
            </w:r>
          </w:p>
        </w:tc>
      </w:tr>
      <w:tr w:rsidR="004F23CA" w:rsidRPr="004F23CA" w14:paraId="6A6AA8A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22C3B"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79F7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E3FE6" w14:textId="77777777" w:rsidR="004F23CA" w:rsidRPr="004F23CA" w:rsidRDefault="004F23CA" w:rsidP="004F23CA">
            <w:pPr>
              <w:jc w:val="center"/>
              <w:rPr>
                <w:rFonts w:cs="Arial"/>
                <w:color w:val="000000"/>
                <w:szCs w:val="20"/>
              </w:rPr>
            </w:pPr>
            <w:r w:rsidRPr="004F23CA">
              <w:rPr>
                <w:rFonts w:cs="Arial"/>
                <w:color w:val="000000"/>
                <w:szCs w:val="20"/>
              </w:rPr>
              <w:t>11/16/2008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62AF4" w14:textId="77777777" w:rsidR="004F23CA" w:rsidRPr="004F23CA" w:rsidRDefault="004F23CA" w:rsidP="004F23CA">
            <w:pPr>
              <w:jc w:val="center"/>
              <w:rPr>
                <w:rFonts w:cs="Arial"/>
                <w:color w:val="000000"/>
                <w:szCs w:val="20"/>
              </w:rPr>
            </w:pPr>
            <w:r w:rsidRPr="004F23CA">
              <w:rPr>
                <w:rFonts w:cs="Arial"/>
                <w:color w:val="000000"/>
                <w:szCs w:val="20"/>
              </w:rPr>
              <w:t>11/15/2058</w:t>
            </w:r>
          </w:p>
        </w:tc>
      </w:tr>
      <w:tr w:rsidR="004F23CA" w:rsidRPr="004F23CA" w14:paraId="4302A2A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522F4"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AB006"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FB7AA" w14:textId="77777777" w:rsidR="004F23CA" w:rsidRPr="004F23CA" w:rsidRDefault="004F23CA" w:rsidP="004F23CA">
            <w:pPr>
              <w:jc w:val="center"/>
              <w:rPr>
                <w:rFonts w:cs="Arial"/>
                <w:color w:val="000000"/>
                <w:szCs w:val="20"/>
              </w:rPr>
            </w:pPr>
            <w:r w:rsidRPr="004F23CA">
              <w:rPr>
                <w:rFonts w:cs="Arial"/>
                <w:color w:val="000000"/>
                <w:szCs w:val="20"/>
              </w:rPr>
              <w:t>11/17/2008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B44B" w14:textId="77777777" w:rsidR="004F23CA" w:rsidRPr="004F23CA" w:rsidRDefault="004F23CA" w:rsidP="004F23CA">
            <w:pPr>
              <w:jc w:val="center"/>
              <w:rPr>
                <w:rFonts w:cs="Arial"/>
                <w:color w:val="000000"/>
                <w:szCs w:val="20"/>
              </w:rPr>
            </w:pPr>
            <w:r w:rsidRPr="004F23CA">
              <w:rPr>
                <w:rFonts w:cs="Arial"/>
                <w:color w:val="000000"/>
                <w:szCs w:val="20"/>
              </w:rPr>
              <w:t>11/16/2058</w:t>
            </w:r>
          </w:p>
        </w:tc>
      </w:tr>
      <w:tr w:rsidR="004F23CA" w:rsidRPr="004F23CA" w14:paraId="518DC636"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68874"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DB549"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0A7FB" w14:textId="77777777" w:rsidR="004F23CA" w:rsidRPr="004F23CA" w:rsidRDefault="004F23CA" w:rsidP="004F23CA">
            <w:pPr>
              <w:jc w:val="center"/>
              <w:rPr>
                <w:rFonts w:cs="Arial"/>
                <w:color w:val="000000"/>
                <w:szCs w:val="20"/>
              </w:rPr>
            </w:pPr>
            <w:r w:rsidRPr="004F23CA">
              <w:rPr>
                <w:rFonts w:cs="Arial"/>
                <w:color w:val="000000"/>
                <w:szCs w:val="20"/>
              </w:rPr>
              <w:t>11/18/2008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928C5" w14:textId="77777777" w:rsidR="004F23CA" w:rsidRPr="004F23CA" w:rsidRDefault="004F23CA" w:rsidP="004F23CA">
            <w:pPr>
              <w:jc w:val="center"/>
              <w:rPr>
                <w:rFonts w:cs="Arial"/>
                <w:color w:val="000000"/>
                <w:szCs w:val="20"/>
              </w:rPr>
            </w:pPr>
            <w:r w:rsidRPr="004F23CA">
              <w:rPr>
                <w:rFonts w:cs="Arial"/>
                <w:color w:val="000000"/>
                <w:szCs w:val="20"/>
              </w:rPr>
              <w:t>11/17/2058</w:t>
            </w:r>
          </w:p>
        </w:tc>
      </w:tr>
      <w:tr w:rsidR="004F23CA" w:rsidRPr="004F23CA" w14:paraId="7407777F"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F9EBBF"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5D36D"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D0305" w14:textId="77777777" w:rsidR="004F23CA" w:rsidRPr="004F23CA" w:rsidRDefault="004F23CA" w:rsidP="004F23CA">
            <w:pPr>
              <w:jc w:val="center"/>
              <w:rPr>
                <w:rFonts w:cs="Arial"/>
                <w:color w:val="000000"/>
                <w:szCs w:val="20"/>
              </w:rPr>
            </w:pPr>
            <w:r w:rsidRPr="004F23CA">
              <w:rPr>
                <w:rFonts w:cs="Arial"/>
                <w:color w:val="000000"/>
                <w:szCs w:val="20"/>
              </w:rPr>
              <w:t>11/19/2008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9AB90" w14:textId="77777777" w:rsidR="004F23CA" w:rsidRPr="004F23CA" w:rsidRDefault="004F23CA" w:rsidP="004F23CA">
            <w:pPr>
              <w:jc w:val="center"/>
              <w:rPr>
                <w:rFonts w:cs="Arial"/>
                <w:color w:val="000000"/>
                <w:szCs w:val="20"/>
              </w:rPr>
            </w:pPr>
            <w:r w:rsidRPr="004F23CA">
              <w:rPr>
                <w:rFonts w:cs="Arial"/>
                <w:color w:val="000000"/>
                <w:szCs w:val="20"/>
              </w:rPr>
              <w:t>11/18/2058</w:t>
            </w:r>
          </w:p>
        </w:tc>
      </w:tr>
      <w:tr w:rsidR="004F23CA" w:rsidRPr="004F23CA" w14:paraId="735F0E6C"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02837"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3A12C"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ACAA1" w14:textId="77777777" w:rsidR="004F23CA" w:rsidRPr="004F23CA" w:rsidRDefault="004F23CA" w:rsidP="004F23CA">
            <w:pPr>
              <w:jc w:val="center"/>
              <w:rPr>
                <w:rFonts w:cs="Arial"/>
                <w:color w:val="000000"/>
                <w:szCs w:val="20"/>
              </w:rPr>
            </w:pPr>
            <w:r w:rsidRPr="004F23CA">
              <w:rPr>
                <w:rFonts w:cs="Arial"/>
                <w:color w:val="000000"/>
                <w:szCs w:val="20"/>
              </w:rPr>
              <w:t>11/20/2008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C84CA" w14:textId="77777777" w:rsidR="004F23CA" w:rsidRPr="004F23CA" w:rsidRDefault="004F23CA" w:rsidP="004F23CA">
            <w:pPr>
              <w:jc w:val="center"/>
              <w:rPr>
                <w:rFonts w:cs="Arial"/>
                <w:color w:val="000000"/>
                <w:szCs w:val="20"/>
              </w:rPr>
            </w:pPr>
            <w:r w:rsidRPr="004F23CA">
              <w:rPr>
                <w:rFonts w:cs="Arial"/>
                <w:color w:val="000000"/>
                <w:szCs w:val="20"/>
              </w:rPr>
              <w:t>11/19/2058</w:t>
            </w:r>
          </w:p>
        </w:tc>
      </w:tr>
      <w:tr w:rsidR="004F23CA" w:rsidRPr="004F23CA" w14:paraId="754A42E8" w14:textId="77777777" w:rsidTr="00F61A36">
        <w:trPr>
          <w:trHeight w:val="285"/>
        </w:trPr>
        <w:tc>
          <w:tcPr>
            <w:tcW w:w="5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94BA8" w14:textId="77777777" w:rsidR="004F23CA" w:rsidRPr="004F23CA" w:rsidRDefault="004F23CA" w:rsidP="004F23CA">
            <w:pPr>
              <w:rPr>
                <w:rFonts w:cs="Arial"/>
                <w:color w:val="000000"/>
                <w:szCs w:val="20"/>
              </w:rPr>
            </w:pPr>
            <w:r w:rsidRPr="004F23CA">
              <w:rPr>
                <w:rFonts w:cs="Arial"/>
                <w:color w:val="000000"/>
                <w:szCs w:val="20"/>
              </w:rPr>
              <w:t>First Time Home Buyer Program</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840C6" w14:textId="77777777" w:rsidR="004F23CA" w:rsidRPr="004F23CA" w:rsidRDefault="004F23CA" w:rsidP="004F23CA">
            <w:pPr>
              <w:rPr>
                <w:rFonts w:cs="Arial"/>
                <w:color w:val="000000"/>
                <w:szCs w:val="20"/>
              </w:rPr>
            </w:pPr>
            <w:r w:rsidRPr="004F23CA">
              <w:rPr>
                <w:rFonts w:cs="Arial"/>
                <w:color w:val="000000"/>
                <w:szCs w:val="20"/>
              </w:rPr>
              <w:t>Various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9D67B" w14:textId="77777777" w:rsidR="004F23CA" w:rsidRPr="004F23CA" w:rsidRDefault="004F23CA" w:rsidP="004F23CA">
            <w:pPr>
              <w:jc w:val="center"/>
              <w:rPr>
                <w:rFonts w:cs="Arial"/>
                <w:color w:val="000000"/>
                <w:szCs w:val="20"/>
              </w:rPr>
            </w:pPr>
            <w:r w:rsidRPr="004F23CA">
              <w:rPr>
                <w:rFonts w:cs="Arial"/>
                <w:color w:val="000000"/>
                <w:szCs w:val="20"/>
              </w:rPr>
              <w:t>11/21/2008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5EB8D" w14:textId="77777777" w:rsidR="004F23CA" w:rsidRPr="004F23CA" w:rsidRDefault="004F23CA" w:rsidP="004F23CA">
            <w:pPr>
              <w:jc w:val="center"/>
              <w:rPr>
                <w:rFonts w:cs="Arial"/>
                <w:color w:val="000000"/>
                <w:szCs w:val="20"/>
              </w:rPr>
            </w:pPr>
            <w:r w:rsidRPr="004F23CA">
              <w:rPr>
                <w:rFonts w:cs="Arial"/>
                <w:color w:val="000000"/>
                <w:szCs w:val="20"/>
              </w:rPr>
              <w:t>11/20/2058</w:t>
            </w:r>
          </w:p>
        </w:tc>
      </w:tr>
      <w:tr w:rsidR="004F23CA" w:rsidRPr="004F23CA" w14:paraId="3FCE3281" w14:textId="77777777" w:rsidTr="00F61A36">
        <w:trPr>
          <w:trHeight w:val="285"/>
        </w:trPr>
        <w:tc>
          <w:tcPr>
            <w:tcW w:w="5663" w:type="dxa"/>
            <w:tcBorders>
              <w:top w:val="single" w:sz="4" w:space="0" w:color="auto"/>
            </w:tcBorders>
            <w:shd w:val="clear" w:color="auto" w:fill="auto"/>
            <w:noWrap/>
            <w:vAlign w:val="bottom"/>
            <w:hideMark/>
          </w:tcPr>
          <w:p w14:paraId="0A27BB74" w14:textId="77777777" w:rsidR="004F23CA" w:rsidRPr="004F23CA" w:rsidRDefault="004F23CA" w:rsidP="004F23CA">
            <w:pPr>
              <w:rPr>
                <w:rFonts w:cs="Arial"/>
                <w:i/>
                <w:iCs/>
                <w:color w:val="000000"/>
                <w:szCs w:val="20"/>
              </w:rPr>
            </w:pPr>
            <w:r w:rsidRPr="004F23CA">
              <w:rPr>
                <w:rFonts w:cs="Arial"/>
                <w:i/>
                <w:iCs/>
                <w:color w:val="000000"/>
                <w:szCs w:val="20"/>
              </w:rPr>
              <w:t>Note: Does not include units assisted prior to 2003-04</w:t>
            </w:r>
          </w:p>
        </w:tc>
        <w:tc>
          <w:tcPr>
            <w:tcW w:w="1861" w:type="dxa"/>
            <w:tcBorders>
              <w:top w:val="single" w:sz="4" w:space="0" w:color="auto"/>
            </w:tcBorders>
            <w:shd w:val="clear" w:color="auto" w:fill="auto"/>
            <w:vAlign w:val="bottom"/>
            <w:hideMark/>
          </w:tcPr>
          <w:p w14:paraId="314F0A76" w14:textId="77777777" w:rsidR="004F23CA" w:rsidRPr="004F23CA" w:rsidRDefault="004F23CA" w:rsidP="004F23CA">
            <w:pPr>
              <w:rPr>
                <w:rFonts w:cs="Arial"/>
                <w:i/>
                <w:iCs/>
                <w:color w:val="000000"/>
                <w:szCs w:val="20"/>
              </w:rPr>
            </w:pPr>
          </w:p>
        </w:tc>
        <w:tc>
          <w:tcPr>
            <w:tcW w:w="1381" w:type="dxa"/>
            <w:tcBorders>
              <w:top w:val="single" w:sz="4" w:space="0" w:color="auto"/>
            </w:tcBorders>
            <w:shd w:val="clear" w:color="auto" w:fill="auto"/>
            <w:vAlign w:val="bottom"/>
            <w:hideMark/>
          </w:tcPr>
          <w:p w14:paraId="405128FC" w14:textId="77777777" w:rsidR="004F23CA" w:rsidRPr="004F23CA" w:rsidRDefault="004F23CA" w:rsidP="004F23CA">
            <w:pPr>
              <w:rPr>
                <w:szCs w:val="20"/>
              </w:rPr>
            </w:pPr>
          </w:p>
        </w:tc>
        <w:tc>
          <w:tcPr>
            <w:tcW w:w="1516" w:type="dxa"/>
            <w:tcBorders>
              <w:top w:val="single" w:sz="4" w:space="0" w:color="auto"/>
            </w:tcBorders>
            <w:shd w:val="clear" w:color="auto" w:fill="auto"/>
            <w:vAlign w:val="bottom"/>
            <w:hideMark/>
          </w:tcPr>
          <w:p w14:paraId="049E1667" w14:textId="77777777" w:rsidR="004F23CA" w:rsidRPr="004F23CA" w:rsidRDefault="004F23CA" w:rsidP="004F23CA">
            <w:pPr>
              <w:jc w:val="center"/>
              <w:rPr>
                <w:szCs w:val="20"/>
              </w:rPr>
            </w:pPr>
          </w:p>
        </w:tc>
      </w:tr>
    </w:tbl>
    <w:p w14:paraId="465F033F" w14:textId="037B50EB" w:rsidR="00B4235A" w:rsidRPr="005311E2" w:rsidRDefault="00C42D69" w:rsidP="003836D8">
      <w:pPr>
        <w:pStyle w:val="RSGIMGCentered"/>
        <w:jc w:val="left"/>
      </w:pPr>
      <w:r>
        <w:rPr>
          <w:noProof/>
        </w:rPr>
        <w:drawing>
          <wp:anchor distT="0" distB="0" distL="114300" distR="114300" simplePos="0" relativeHeight="251658241" behindDoc="0" locked="0" layoutInCell="1" allowOverlap="1" wp14:anchorId="21CCD2B7" wp14:editId="5629B6A1">
            <wp:simplePos x="0" y="0"/>
            <wp:positionH relativeFrom="column">
              <wp:posOffset>922020</wp:posOffset>
            </wp:positionH>
            <wp:positionV relativeFrom="paragraph">
              <wp:posOffset>7247693</wp:posOffset>
            </wp:positionV>
            <wp:extent cx="4572000" cy="693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4235A" w:rsidRPr="005311E2" w:rsidSect="002A7695">
      <w:headerReference w:type="even" r:id="rId26"/>
      <w:headerReference w:type="default" r:id="rId27"/>
      <w:headerReference w:type="first" r:id="rId28"/>
      <w:pgSz w:w="12240" w:h="15840" w:code="1"/>
      <w:pgMar w:top="1800" w:right="1080" w:bottom="1440" w:left="1080" w:header="720" w:footer="50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Rosa Romero" w:date="2024-03-06T10:09:00Z" w:initials="RR">
    <w:p w14:paraId="38F120BE" w14:textId="77777777" w:rsidR="006C370A" w:rsidRDefault="006C370A" w:rsidP="006C370A">
      <w:r>
        <w:rPr>
          <w:rStyle w:val="CommentReference"/>
        </w:rPr>
        <w:annotationRef/>
      </w:r>
      <w:r>
        <w:rPr>
          <w:rFonts w:eastAsia="Times"/>
          <w:szCs w:val="20"/>
        </w:rPr>
        <w:t>Amy - please confirm this is the correct amount.</w:t>
      </w:r>
    </w:p>
  </w:comment>
  <w:comment w:id="56" w:author="Amy N. Bergstrand" w:date="2024-03-06T08:47:00Z" w:initials="ANB">
    <w:p w14:paraId="15F7939E" w14:textId="77777777" w:rsidR="00BB1EC1" w:rsidRDefault="00BB1EC1" w:rsidP="00BB1EC1">
      <w:pPr>
        <w:pStyle w:val="CommentText"/>
      </w:pPr>
      <w:r>
        <w:rPr>
          <w:rStyle w:val="CommentReference"/>
        </w:rPr>
        <w:annotationRef/>
      </w:r>
      <w:r>
        <w:t>I calculate $97,837 based on changes in yellow on excel</w:t>
      </w:r>
    </w:p>
  </w:comment>
  <w:comment w:id="67" w:author="Rosa Romero" w:date="2024-03-06T10:11:00Z" w:initials="RR">
    <w:p w14:paraId="098B5889" w14:textId="0949A406" w:rsidR="005F2CAE" w:rsidRDefault="005F2CAE" w:rsidP="005F2CAE">
      <w:r>
        <w:rPr>
          <w:rStyle w:val="CommentReference"/>
        </w:rPr>
        <w:annotationRef/>
      </w:r>
      <w:r>
        <w:rPr>
          <w:rFonts w:eastAsia="Times"/>
          <w:szCs w:val="20"/>
        </w:rPr>
        <w:t>Amy -comfirming this amount is correct?</w:t>
      </w:r>
    </w:p>
  </w:comment>
  <w:comment w:id="68" w:author="Amy N. Bergstrand" w:date="2024-03-06T08:48:00Z" w:initials="ANB">
    <w:p w14:paraId="69262017" w14:textId="77777777" w:rsidR="00BB1EC1" w:rsidRDefault="00BB1EC1" w:rsidP="00BB1EC1">
      <w:pPr>
        <w:pStyle w:val="CommentText"/>
      </w:pPr>
      <w:r>
        <w:rPr>
          <w:rStyle w:val="CommentReference"/>
        </w:rPr>
        <w:annotationRef/>
      </w:r>
      <w:r>
        <w:t>$97837</w:t>
      </w:r>
    </w:p>
  </w:comment>
  <w:comment w:id="69" w:author="Rosa Romero" w:date="2024-03-06T10:12:00Z" w:initials="RR">
    <w:p w14:paraId="7645A5C3" w14:textId="1BFAB12E" w:rsidR="00B85C66" w:rsidRDefault="00B85C66" w:rsidP="00B85C66">
      <w:r>
        <w:rPr>
          <w:rStyle w:val="CommentReference"/>
        </w:rPr>
        <w:annotationRef/>
      </w:r>
      <w:r>
        <w:rPr>
          <w:rFonts w:eastAsia="Times"/>
          <w:szCs w:val="20"/>
        </w:rPr>
        <w:t>Amy - please confirm this is correct.</w:t>
      </w:r>
    </w:p>
  </w:comment>
  <w:comment w:id="70" w:author="Amy N. Bergstrand" w:date="2024-03-06T08:49:00Z" w:initials="ANB">
    <w:p w14:paraId="7B6BE33C" w14:textId="77777777" w:rsidR="00BB1EC1" w:rsidRDefault="00BB1EC1" w:rsidP="00BB1EC1">
      <w:pPr>
        <w:pStyle w:val="CommentText"/>
      </w:pPr>
      <w:r>
        <w:rPr>
          <w:rStyle w:val="CommentReference"/>
        </w:rPr>
        <w:annotationRef/>
      </w:r>
      <w:r>
        <w:t>We disbursed $900,000 loan to extremely low perm supportive housing project to prospect view ( I added on attached spreadsheet), we still need to disburse the remaining $100,000</w:t>
      </w:r>
    </w:p>
  </w:comment>
  <w:comment w:id="73" w:author="Rosa Romero" w:date="2024-03-06T10:13:00Z" w:initials="RR">
    <w:p w14:paraId="0D8F2A19" w14:textId="1ACF3E08" w:rsidR="008C5DC8" w:rsidRDefault="008C5DC8" w:rsidP="008C5DC8">
      <w:r>
        <w:rPr>
          <w:rStyle w:val="CommentReference"/>
        </w:rPr>
        <w:annotationRef/>
      </w:r>
      <w:r>
        <w:rPr>
          <w:rFonts w:eastAsia="Times"/>
          <w:szCs w:val="20"/>
        </w:rPr>
        <w:t>Amy- please confirm there are no Senior units to add for this past FY</w:t>
      </w:r>
    </w:p>
  </w:comment>
  <w:comment w:id="74" w:author="Amy N. Bergstrand" w:date="2024-03-06T07:44:00Z" w:initials="AB">
    <w:p w14:paraId="1188B638" w14:textId="77777777" w:rsidR="003C1ECF" w:rsidRDefault="003C1ECF" w:rsidP="003C1ECF">
      <w:pPr>
        <w:pStyle w:val="CommentText"/>
      </w:pPr>
      <w:r>
        <w:rPr>
          <w:rStyle w:val="CommentReference"/>
        </w:rPr>
        <w:annotationRef/>
      </w:r>
      <w:r>
        <w:t>We have not added any additional senior project.s</w:t>
      </w:r>
    </w:p>
  </w:comment>
  <w:comment w:id="77" w:author="Rosa Romero" w:date="2024-03-06T10:23:00Z" w:initials="RR">
    <w:p w14:paraId="19689878" w14:textId="22E51D90" w:rsidR="00A7617F" w:rsidRDefault="00A7617F" w:rsidP="00A7617F">
      <w:r>
        <w:rPr>
          <w:rStyle w:val="CommentReference"/>
        </w:rPr>
        <w:annotationRef/>
      </w:r>
      <w:r>
        <w:rPr>
          <w:rFonts w:eastAsia="Times"/>
          <w:szCs w:val="20"/>
        </w:rPr>
        <w:t>Amy- we saw in the financials the  encumbered amount of $1,850,000 and we added the expenses of $95,456. If the expense amount is different - then we can update the table. Would you please describe what the encumbered funds are for?</w:t>
      </w:r>
    </w:p>
  </w:comment>
  <w:comment w:id="78" w:author="Amy N. Bergstrand" w:date="2024-03-06T07:48:00Z" w:initials="AB">
    <w:p w14:paraId="4AABD5E2" w14:textId="77777777" w:rsidR="003C1ECF" w:rsidRDefault="003C1ECF" w:rsidP="003C1ECF">
      <w:pPr>
        <w:pStyle w:val="CommentText"/>
      </w:pPr>
      <w:r>
        <w:rPr>
          <w:rStyle w:val="CommentReference"/>
        </w:rPr>
        <w:annotationRef/>
      </w:r>
      <w:r>
        <w:t>$1,750,000 is a loan that the council approved for an extremely low, perm supportive housing project for Veterans Housing Development Corporation.  We have not disbursed the funds yet but are working on security docs not.  The additional $100,000 is the remaining contingency on the $1,000,000 loan that we made to Prospect View-a permanent supportive housing project., for extremely low, formally homeless.  This loan was listed as an expense in the updated financials that I sent yesterday from the FUND. Not project 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F120BE" w15:done="1"/>
  <w15:commentEx w15:paraId="15F7939E" w15:paraIdParent="38F120BE" w15:done="1"/>
  <w15:commentEx w15:paraId="098B5889" w15:done="1"/>
  <w15:commentEx w15:paraId="69262017" w15:paraIdParent="098B5889" w15:done="1"/>
  <w15:commentEx w15:paraId="7645A5C3" w15:done="1"/>
  <w15:commentEx w15:paraId="7B6BE33C" w15:paraIdParent="7645A5C3" w15:done="1"/>
  <w15:commentEx w15:paraId="0D8F2A19" w15:done="1"/>
  <w15:commentEx w15:paraId="1188B638" w15:paraIdParent="0D8F2A19" w15:done="1"/>
  <w15:commentEx w15:paraId="19689878" w15:done="1"/>
  <w15:commentEx w15:paraId="4AABD5E2" w15:paraIdParent="196898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AEB907" w16cex:dateUtc="2024-03-06T15:09:00Z"/>
  <w16cex:commentExtensible w16cex:durableId="3CCE5726" w16cex:dateUtc="2024-03-06T16:47:00Z"/>
  <w16cex:commentExtensible w16cex:durableId="7FC9FAE7" w16cex:dateUtc="2024-03-06T15:11:00Z"/>
  <w16cex:commentExtensible w16cex:durableId="4EEDF82D" w16cex:dateUtc="2024-03-06T16:48:00Z"/>
  <w16cex:commentExtensible w16cex:durableId="5D1D5582" w16cex:dateUtc="2024-03-06T15:12:00Z"/>
  <w16cex:commentExtensible w16cex:durableId="0E40EDE2" w16cex:dateUtc="2024-03-06T16:49:00Z"/>
  <w16cex:commentExtensible w16cex:durableId="5E42CF46" w16cex:dateUtc="2024-03-06T15:13:00Z"/>
  <w16cex:commentExtensible w16cex:durableId="6FDA4768" w16cex:dateUtc="2024-03-06T15:44:00Z"/>
  <w16cex:commentExtensible w16cex:durableId="4994F9D3" w16cex:dateUtc="2024-03-06T15:23:00Z"/>
  <w16cex:commentExtensible w16cex:durableId="4EF96C67" w16cex:dateUtc="2024-03-06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120BE" w16cid:durableId="6CAEB907"/>
  <w16cid:commentId w16cid:paraId="15F7939E" w16cid:durableId="3CCE5726"/>
  <w16cid:commentId w16cid:paraId="098B5889" w16cid:durableId="7FC9FAE7"/>
  <w16cid:commentId w16cid:paraId="69262017" w16cid:durableId="4EEDF82D"/>
  <w16cid:commentId w16cid:paraId="7645A5C3" w16cid:durableId="5D1D5582"/>
  <w16cid:commentId w16cid:paraId="7B6BE33C" w16cid:durableId="0E40EDE2"/>
  <w16cid:commentId w16cid:paraId="0D8F2A19" w16cid:durableId="5E42CF46"/>
  <w16cid:commentId w16cid:paraId="1188B638" w16cid:durableId="6FDA4768"/>
  <w16cid:commentId w16cid:paraId="19689878" w16cid:durableId="4994F9D3"/>
  <w16cid:commentId w16cid:paraId="4AABD5E2" w16cid:durableId="4EF96C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181C" w14:textId="77777777" w:rsidR="002A7695" w:rsidRDefault="002A7695">
      <w:r>
        <w:separator/>
      </w:r>
    </w:p>
    <w:p w14:paraId="2C53D552" w14:textId="77777777" w:rsidR="002A7695" w:rsidRDefault="002A7695"/>
    <w:p w14:paraId="272B7AE4" w14:textId="77777777" w:rsidR="002A7695" w:rsidRDefault="002A7695"/>
    <w:p w14:paraId="4A1636F9" w14:textId="77777777" w:rsidR="002A7695" w:rsidRDefault="002A7695"/>
    <w:p w14:paraId="5147C67F" w14:textId="77777777" w:rsidR="002A7695" w:rsidRDefault="002A7695"/>
    <w:p w14:paraId="4996E063" w14:textId="77777777" w:rsidR="002A7695" w:rsidRDefault="002A7695"/>
    <w:p w14:paraId="3C2AFF2C" w14:textId="77777777" w:rsidR="002A7695" w:rsidRDefault="002A7695"/>
  </w:endnote>
  <w:endnote w:type="continuationSeparator" w:id="0">
    <w:p w14:paraId="0DF137E4" w14:textId="77777777" w:rsidR="002A7695" w:rsidRDefault="002A7695">
      <w:r>
        <w:continuationSeparator/>
      </w:r>
    </w:p>
    <w:p w14:paraId="79F9ED9B" w14:textId="77777777" w:rsidR="002A7695" w:rsidRDefault="002A7695"/>
    <w:p w14:paraId="041D53F7" w14:textId="77777777" w:rsidR="002A7695" w:rsidRDefault="002A7695"/>
    <w:p w14:paraId="742AD98F" w14:textId="77777777" w:rsidR="002A7695" w:rsidRDefault="002A7695"/>
    <w:p w14:paraId="2AE930F2" w14:textId="77777777" w:rsidR="002A7695" w:rsidRDefault="002A7695"/>
    <w:p w14:paraId="4F078044" w14:textId="77777777" w:rsidR="002A7695" w:rsidRDefault="002A7695"/>
    <w:p w14:paraId="6DD08E10" w14:textId="77777777" w:rsidR="002A7695" w:rsidRDefault="002A7695"/>
  </w:endnote>
  <w:endnote w:type="continuationNotice" w:id="1">
    <w:p w14:paraId="587C63F2" w14:textId="77777777" w:rsidR="002A7695" w:rsidRDefault="002A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Bold">
    <w:altName w:val="Calibri"/>
    <w:panose1 w:val="00000000000000000000"/>
    <w:charset w:val="00"/>
    <w:family w:val="auto"/>
    <w:notTrueType/>
    <w:pitch w:val="variable"/>
    <w:sig w:usb0="A00002FF" w:usb1="4000005B" w:usb2="00000000" w:usb3="00000000" w:csb0="0000009F" w:csb1="00000000"/>
  </w:font>
  <w:font w:name="Gotham-Book">
    <w:altName w:val="Calibri"/>
    <w:panose1 w:val="00000000000000000000"/>
    <w:charset w:val="00"/>
    <w:family w:val="auto"/>
    <w:notTrueType/>
    <w:pitch w:val="variable"/>
    <w:sig w:usb0="A00002FF" w:usb1="4000005B" w:usb2="00000000" w:usb3="00000000" w:csb0="0000009F" w:csb1="00000000"/>
  </w:font>
  <w:font w:name="Times">
    <w:panose1 w:val="02020603050405020304"/>
    <w:charset w:val="00"/>
    <w:family w:val="auto"/>
    <w:pitch w:val="variable"/>
    <w:sig w:usb0="E00002FF" w:usb1="5000205A" w:usb2="00000000" w:usb3="00000000" w:csb0="0000019F" w:csb1="00000000"/>
  </w:font>
  <w:font w:name="Gotham-Light">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otham Bl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1B9B" w14:textId="172F9AA6" w:rsidR="00C87EB2" w:rsidRDefault="00C87EB2" w:rsidP="00D76CE9">
    <w:pPr>
      <w:pStyle w:val="Footer"/>
      <w:tabs>
        <w:tab w:val="left" w:pos="1507"/>
        <w:tab w:val="right" w:pos="10080"/>
      </w:tabs>
      <w:rPr>
        <w:noProof/>
      </w:rPr>
    </w:pPr>
    <w:r w:rsidRPr="007B34C7">
      <w:rPr>
        <w:i/>
        <w:iCs/>
        <w:noProof/>
      </w:rPr>
      <w:t>Oroville Housing Successor Annual Report 20</w:t>
    </w:r>
    <w:r w:rsidR="004E11CF">
      <w:rPr>
        <w:i/>
        <w:iCs/>
        <w:noProof/>
      </w:rPr>
      <w:t>22-23</w:t>
    </w:r>
    <w:r w:rsidRPr="00D76CE9">
      <w:rPr>
        <w:noProof/>
      </w:rPr>
      <w:ptab w:relativeTo="margin" w:alignment="center" w:leader="none"/>
    </w:r>
    <w:r w:rsidRPr="00D76CE9">
      <w:rPr>
        <w:noProo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45E5" w14:textId="23E2504B" w:rsidR="00C87EB2" w:rsidRPr="00ED57E8" w:rsidRDefault="00C87EB2">
    <w:pPr>
      <w:rPr>
        <w:i/>
        <w:szCs w:val="20"/>
      </w:rPr>
    </w:pPr>
    <w:r>
      <w:rPr>
        <w:i/>
        <w:iCs/>
        <w:szCs w:val="20"/>
      </w:rPr>
      <w:t xml:space="preserve">Oroville Housing Successor Annual Report </w:t>
    </w:r>
    <w:r w:rsidR="00B105AB">
      <w:rPr>
        <w:i/>
        <w:iCs/>
        <w:szCs w:val="20"/>
      </w:rPr>
      <w:t xml:space="preserve">FY </w:t>
    </w:r>
    <w:r w:rsidR="00800A50" w:rsidRPr="008C1425">
      <w:rPr>
        <w:i/>
        <w:szCs w:val="20"/>
      </w:rPr>
      <w:t>20</w:t>
    </w:r>
    <w:r w:rsidR="004E11CF">
      <w:rPr>
        <w:i/>
        <w:szCs w:val="20"/>
      </w:rPr>
      <w:t>22-23</w:t>
    </w:r>
    <w:r w:rsidRPr="004B078F">
      <w:rPr>
        <w:szCs w:val="20"/>
      </w:rPr>
      <w:ptab w:relativeTo="margin" w:alignment="right" w:leader="none"/>
    </w:r>
    <w:r w:rsidRPr="004B078F">
      <w:rPr>
        <w:szCs w:val="20"/>
      </w:rPr>
      <w:fldChar w:fldCharType="begin"/>
    </w:r>
    <w:r w:rsidRPr="004B078F">
      <w:rPr>
        <w:szCs w:val="20"/>
      </w:rPr>
      <w:instrText xml:space="preserve"> PAGE   \* MERGEFORMAT </w:instrText>
    </w:r>
    <w:r w:rsidRPr="004B078F">
      <w:rPr>
        <w:szCs w:val="20"/>
      </w:rPr>
      <w:fldChar w:fldCharType="separate"/>
    </w:r>
    <w:r w:rsidRPr="004B078F">
      <w:rPr>
        <w:noProof/>
        <w:szCs w:val="20"/>
      </w:rPr>
      <w:t>1</w:t>
    </w:r>
    <w:r w:rsidRPr="004B078F">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957D" w14:textId="77777777" w:rsidR="002A7695" w:rsidRDefault="002A7695">
      <w:r>
        <w:separator/>
      </w:r>
    </w:p>
    <w:p w14:paraId="09EDC5D7" w14:textId="77777777" w:rsidR="002A7695" w:rsidRDefault="002A7695"/>
    <w:p w14:paraId="01CB6C1A" w14:textId="77777777" w:rsidR="002A7695" w:rsidRDefault="002A7695"/>
    <w:p w14:paraId="73FECE40" w14:textId="77777777" w:rsidR="002A7695" w:rsidRDefault="002A7695"/>
    <w:p w14:paraId="113B5EEC" w14:textId="77777777" w:rsidR="002A7695" w:rsidRDefault="002A7695"/>
    <w:p w14:paraId="2DB53CE8" w14:textId="77777777" w:rsidR="002A7695" w:rsidRDefault="002A7695"/>
    <w:p w14:paraId="1CEE5A76" w14:textId="77777777" w:rsidR="002A7695" w:rsidRDefault="002A7695"/>
  </w:footnote>
  <w:footnote w:type="continuationSeparator" w:id="0">
    <w:p w14:paraId="52034F10" w14:textId="77777777" w:rsidR="002A7695" w:rsidRDefault="002A7695">
      <w:r>
        <w:continuationSeparator/>
      </w:r>
    </w:p>
    <w:p w14:paraId="63FD0BD3" w14:textId="77777777" w:rsidR="002A7695" w:rsidRDefault="002A7695"/>
    <w:p w14:paraId="7DBB96E2" w14:textId="77777777" w:rsidR="002A7695" w:rsidRDefault="002A7695"/>
    <w:p w14:paraId="20985843" w14:textId="77777777" w:rsidR="002A7695" w:rsidRDefault="002A7695"/>
    <w:p w14:paraId="0F7EB512" w14:textId="77777777" w:rsidR="002A7695" w:rsidRDefault="002A7695"/>
    <w:p w14:paraId="0AF525E5" w14:textId="77777777" w:rsidR="002A7695" w:rsidRDefault="002A7695"/>
    <w:p w14:paraId="79BB7810" w14:textId="77777777" w:rsidR="002A7695" w:rsidRDefault="002A7695"/>
  </w:footnote>
  <w:footnote w:type="continuationNotice" w:id="1">
    <w:p w14:paraId="3A456BA3" w14:textId="77777777" w:rsidR="002A7695" w:rsidRDefault="002A7695"/>
  </w:footnote>
  <w:footnote w:id="2">
    <w:p w14:paraId="0D0EAE00" w14:textId="17946090" w:rsidR="00E36745" w:rsidRDefault="00E36745">
      <w:pPr>
        <w:pStyle w:val="FootnoteText"/>
      </w:pPr>
      <w:r>
        <w:rPr>
          <w:rStyle w:val="FootnoteReference"/>
        </w:rPr>
        <w:footnoteRef/>
      </w:r>
      <w:r>
        <w:t xml:space="preserve"> </w:t>
      </w:r>
      <w:r w:rsidRPr="00E272A2">
        <w:rPr>
          <w:rFonts w:ascii="Arial" w:hAnsi="Arial" w:cs="Arial"/>
          <w:vertAlign w:val="superscript"/>
        </w:rPr>
        <w:t xml:space="preserve">The Housing Asset Fund replaced the former Agency’s </w:t>
      </w:r>
      <w:r w:rsidR="003F4CFE" w:rsidRPr="00E272A2">
        <w:rPr>
          <w:rFonts w:ascii="Arial" w:hAnsi="Arial" w:cs="Arial"/>
          <w:vertAlign w:val="superscript"/>
        </w:rPr>
        <w:t>Low- and Moderate-Income</w:t>
      </w:r>
      <w:r w:rsidRPr="00E272A2">
        <w:rPr>
          <w:rFonts w:ascii="Arial" w:hAnsi="Arial" w:cs="Arial"/>
          <w:vertAlign w:val="superscript"/>
        </w:rPr>
        <w:t xml:space="preserve"> Housing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E68F" w14:textId="77777777" w:rsidR="00C87EB2" w:rsidRDefault="00C87E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58E7" w14:textId="77777777" w:rsidR="00C87EB2" w:rsidRDefault="00C87EB2"/>
  <w:p w14:paraId="1EB77A40" w14:textId="77777777" w:rsidR="00C87EB2" w:rsidRDefault="00C87EB2"/>
  <w:p w14:paraId="7FD9A50A" w14:textId="77777777" w:rsidR="00C87EB2" w:rsidRDefault="00C87EB2"/>
  <w:p w14:paraId="5B9D6EE3" w14:textId="77777777" w:rsidR="00C87EB2" w:rsidRDefault="00C87EB2"/>
  <w:p w14:paraId="41B3D6DA" w14:textId="77777777" w:rsidR="00C87EB2" w:rsidRDefault="00C87E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E466" w14:textId="77777777" w:rsidR="00C87EB2" w:rsidRDefault="00C87E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FC0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D8F4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CE2C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30D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B0D8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979499C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1A8707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5FD4B0A8"/>
    <w:lvl w:ilvl="0">
      <w:start w:val="1"/>
      <w:numFmt w:val="decimal"/>
      <w:lvlText w:val="%1."/>
      <w:lvlJc w:val="left"/>
      <w:pPr>
        <w:tabs>
          <w:tab w:val="num" w:pos="360"/>
        </w:tabs>
        <w:ind w:left="360" w:hanging="360"/>
      </w:pPr>
    </w:lvl>
  </w:abstractNum>
  <w:abstractNum w:abstractNumId="8" w15:restartNumberingAfterBreak="0">
    <w:nsid w:val="099F45D1"/>
    <w:multiLevelType w:val="hybridMultilevel"/>
    <w:tmpl w:val="2714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5499"/>
    <w:multiLevelType w:val="hybridMultilevel"/>
    <w:tmpl w:val="87846CF8"/>
    <w:lvl w:ilvl="0" w:tplc="AACAB2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46F51"/>
    <w:multiLevelType w:val="multilevel"/>
    <w:tmpl w:val="6E22AA08"/>
    <w:lvl w:ilvl="0">
      <w:start w:val="1"/>
      <w:numFmt w:val="bullet"/>
      <w:lvlText w:val=""/>
      <w:lvlJc w:val="left"/>
      <w:pPr>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FD4F0C"/>
    <w:multiLevelType w:val="hybridMultilevel"/>
    <w:tmpl w:val="84A6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B7F8A"/>
    <w:multiLevelType w:val="hybridMultilevel"/>
    <w:tmpl w:val="67A8F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142277"/>
    <w:multiLevelType w:val="hybridMultilevel"/>
    <w:tmpl w:val="137E2F72"/>
    <w:lvl w:ilvl="0" w:tplc="8B4C439A">
      <w:start w:val="1"/>
      <w:numFmt w:val="bullet"/>
      <w:pStyle w:val="List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14137"/>
    <w:multiLevelType w:val="hybridMultilevel"/>
    <w:tmpl w:val="213E8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17F37"/>
    <w:multiLevelType w:val="hybridMultilevel"/>
    <w:tmpl w:val="699054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A11AC"/>
    <w:multiLevelType w:val="hybridMultilevel"/>
    <w:tmpl w:val="4BFE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76B8B"/>
    <w:multiLevelType w:val="hybridMultilevel"/>
    <w:tmpl w:val="E53C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07DFF"/>
    <w:multiLevelType w:val="hybridMultilevel"/>
    <w:tmpl w:val="0912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75C68"/>
    <w:multiLevelType w:val="multilevel"/>
    <w:tmpl w:val="6E22AA08"/>
    <w:lvl w:ilvl="0">
      <w:start w:val="1"/>
      <w:numFmt w:val="bullet"/>
      <w:lvlText w:val=""/>
      <w:lvlJc w:val="left"/>
      <w:pPr>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D26CA8"/>
    <w:multiLevelType w:val="multilevel"/>
    <w:tmpl w:val="6E22AA08"/>
    <w:lvl w:ilvl="0">
      <w:start w:val="1"/>
      <w:numFmt w:val="bullet"/>
      <w:lvlText w:val=""/>
      <w:lvlJc w:val="left"/>
      <w:pPr>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2F0737"/>
    <w:multiLevelType w:val="multilevel"/>
    <w:tmpl w:val="CF0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449DE"/>
    <w:multiLevelType w:val="hybridMultilevel"/>
    <w:tmpl w:val="DC5C3944"/>
    <w:lvl w:ilvl="0" w:tplc="554EF014">
      <w:start w:val="1"/>
      <w:numFmt w:val="bullet"/>
      <w:pStyle w:val="RSGBulleted"/>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A7BC5"/>
    <w:multiLevelType w:val="hybridMultilevel"/>
    <w:tmpl w:val="16B4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25C73"/>
    <w:multiLevelType w:val="hybridMultilevel"/>
    <w:tmpl w:val="2714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571DD"/>
    <w:multiLevelType w:val="multilevel"/>
    <w:tmpl w:val="B43CF876"/>
    <w:lvl w:ilvl="0">
      <w:start w:val="1"/>
      <w:numFmt w:val="bullet"/>
      <w:lvlText w:val=""/>
      <w:lvlJc w:val="left"/>
      <w:pPr>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57345B"/>
    <w:multiLevelType w:val="hybridMultilevel"/>
    <w:tmpl w:val="8368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26A89"/>
    <w:multiLevelType w:val="hybridMultilevel"/>
    <w:tmpl w:val="D25A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85B0C"/>
    <w:multiLevelType w:val="multilevel"/>
    <w:tmpl w:val="6E22AA08"/>
    <w:lvl w:ilvl="0">
      <w:start w:val="1"/>
      <w:numFmt w:val="bullet"/>
      <w:lvlText w:val=""/>
      <w:lvlJc w:val="left"/>
      <w:pPr>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E56E5C"/>
    <w:multiLevelType w:val="hybridMultilevel"/>
    <w:tmpl w:val="02ACEF0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252756"/>
    <w:multiLevelType w:val="hybridMultilevel"/>
    <w:tmpl w:val="8BF00660"/>
    <w:lvl w:ilvl="0" w:tplc="AACAB2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A3B42"/>
    <w:multiLevelType w:val="hybridMultilevel"/>
    <w:tmpl w:val="1C2C4206"/>
    <w:lvl w:ilvl="0" w:tplc="AACAB2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E12E5"/>
    <w:multiLevelType w:val="hybridMultilevel"/>
    <w:tmpl w:val="20C473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13769"/>
    <w:multiLevelType w:val="hybridMultilevel"/>
    <w:tmpl w:val="FE406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B6060"/>
    <w:multiLevelType w:val="hybridMultilevel"/>
    <w:tmpl w:val="0DCC9F5A"/>
    <w:lvl w:ilvl="0" w:tplc="AACAB2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A4DCD"/>
    <w:multiLevelType w:val="hybridMultilevel"/>
    <w:tmpl w:val="F60CC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161559">
    <w:abstractNumId w:val="13"/>
  </w:num>
  <w:num w:numId="2" w16cid:durableId="650017260">
    <w:abstractNumId w:val="22"/>
  </w:num>
  <w:num w:numId="3" w16cid:durableId="1181745855">
    <w:abstractNumId w:val="8"/>
  </w:num>
  <w:num w:numId="4" w16cid:durableId="1194726741">
    <w:abstractNumId w:val="11"/>
  </w:num>
  <w:num w:numId="5" w16cid:durableId="1680616947">
    <w:abstractNumId w:val="23"/>
  </w:num>
  <w:num w:numId="6" w16cid:durableId="594940188">
    <w:abstractNumId w:val="33"/>
  </w:num>
  <w:num w:numId="7" w16cid:durableId="260572943">
    <w:abstractNumId w:val="12"/>
  </w:num>
  <w:num w:numId="8" w16cid:durableId="127861397">
    <w:abstractNumId w:val="35"/>
  </w:num>
  <w:num w:numId="9" w16cid:durableId="1398474529">
    <w:abstractNumId w:val="31"/>
  </w:num>
  <w:num w:numId="10" w16cid:durableId="397897254">
    <w:abstractNumId w:val="34"/>
  </w:num>
  <w:num w:numId="11" w16cid:durableId="616060578">
    <w:abstractNumId w:val="30"/>
  </w:num>
  <w:num w:numId="12" w16cid:durableId="633483981">
    <w:abstractNumId w:val="9"/>
  </w:num>
  <w:num w:numId="13" w16cid:durableId="1932272232">
    <w:abstractNumId w:val="14"/>
  </w:num>
  <w:num w:numId="14" w16cid:durableId="543104880">
    <w:abstractNumId w:val="26"/>
  </w:num>
  <w:num w:numId="15" w16cid:durableId="1682194845">
    <w:abstractNumId w:val="17"/>
  </w:num>
  <w:num w:numId="16" w16cid:durableId="884829866">
    <w:abstractNumId w:val="16"/>
  </w:num>
  <w:num w:numId="17" w16cid:durableId="275453370">
    <w:abstractNumId w:val="27"/>
  </w:num>
  <w:num w:numId="18" w16cid:durableId="1972665477">
    <w:abstractNumId w:val="24"/>
  </w:num>
  <w:num w:numId="19" w16cid:durableId="20740419">
    <w:abstractNumId w:val="29"/>
  </w:num>
  <w:num w:numId="20" w16cid:durableId="574824602">
    <w:abstractNumId w:val="18"/>
  </w:num>
  <w:num w:numId="21" w16cid:durableId="2082409172">
    <w:abstractNumId w:val="21"/>
  </w:num>
  <w:num w:numId="22" w16cid:durableId="1604068794">
    <w:abstractNumId w:val="25"/>
  </w:num>
  <w:num w:numId="23" w16cid:durableId="2106723260">
    <w:abstractNumId w:val="10"/>
  </w:num>
  <w:num w:numId="24" w16cid:durableId="344793458">
    <w:abstractNumId w:val="19"/>
  </w:num>
  <w:num w:numId="25" w16cid:durableId="2133819346">
    <w:abstractNumId w:val="28"/>
  </w:num>
  <w:num w:numId="26" w16cid:durableId="422148577">
    <w:abstractNumId w:val="20"/>
  </w:num>
  <w:num w:numId="27" w16cid:durableId="261258320">
    <w:abstractNumId w:val="15"/>
  </w:num>
  <w:num w:numId="28" w16cid:durableId="1130173962">
    <w:abstractNumId w:val="32"/>
  </w:num>
  <w:num w:numId="29" w16cid:durableId="221256375">
    <w:abstractNumId w:val="0"/>
  </w:num>
  <w:num w:numId="30" w16cid:durableId="1052923862">
    <w:abstractNumId w:val="1"/>
  </w:num>
  <w:num w:numId="31" w16cid:durableId="877550576">
    <w:abstractNumId w:val="2"/>
  </w:num>
  <w:num w:numId="32" w16cid:durableId="1861814182">
    <w:abstractNumId w:val="3"/>
  </w:num>
  <w:num w:numId="33" w16cid:durableId="1535851292">
    <w:abstractNumId w:val="7"/>
  </w:num>
  <w:num w:numId="34" w16cid:durableId="2046901114">
    <w:abstractNumId w:val="4"/>
  </w:num>
  <w:num w:numId="35" w16cid:durableId="295723108">
    <w:abstractNumId w:val="5"/>
  </w:num>
  <w:num w:numId="36" w16cid:durableId="1826505005">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 Romero">
    <w15:presenceInfo w15:providerId="AD" w15:userId="S::rromero@webrsg.com::757e7b04-0870-4ca6-ad0d-0224074f5c5d"/>
  </w15:person>
  <w15:person w15:author="Amy N. Bergstrand">
    <w15:presenceInfo w15:providerId="AD" w15:userId="S::abergstrand@cityoforoville.org::03e18204-2c4f-423b-86f5-6589d6a1f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B2"/>
    <w:rsid w:val="00000324"/>
    <w:rsid w:val="00001F28"/>
    <w:rsid w:val="0000201A"/>
    <w:rsid w:val="000027F8"/>
    <w:rsid w:val="00002E70"/>
    <w:rsid w:val="00002F8A"/>
    <w:rsid w:val="000065E8"/>
    <w:rsid w:val="00006CC3"/>
    <w:rsid w:val="00007D9B"/>
    <w:rsid w:val="00010FBE"/>
    <w:rsid w:val="000120C8"/>
    <w:rsid w:val="00012A91"/>
    <w:rsid w:val="000140E3"/>
    <w:rsid w:val="00016A39"/>
    <w:rsid w:val="00017B0E"/>
    <w:rsid w:val="00020720"/>
    <w:rsid w:val="000210AC"/>
    <w:rsid w:val="00021323"/>
    <w:rsid w:val="00022C0F"/>
    <w:rsid w:val="000235AB"/>
    <w:rsid w:val="000238E6"/>
    <w:rsid w:val="00023BD8"/>
    <w:rsid w:val="00023CB7"/>
    <w:rsid w:val="000248A4"/>
    <w:rsid w:val="00024DF6"/>
    <w:rsid w:val="00024FDC"/>
    <w:rsid w:val="000251BC"/>
    <w:rsid w:val="00025F54"/>
    <w:rsid w:val="00026411"/>
    <w:rsid w:val="00026FDC"/>
    <w:rsid w:val="000275F0"/>
    <w:rsid w:val="000303A0"/>
    <w:rsid w:val="00030A39"/>
    <w:rsid w:val="00030B81"/>
    <w:rsid w:val="00031ED1"/>
    <w:rsid w:val="00032155"/>
    <w:rsid w:val="000327DD"/>
    <w:rsid w:val="0003326C"/>
    <w:rsid w:val="00033273"/>
    <w:rsid w:val="00035417"/>
    <w:rsid w:val="0003582B"/>
    <w:rsid w:val="00035D20"/>
    <w:rsid w:val="000419C3"/>
    <w:rsid w:val="0004339A"/>
    <w:rsid w:val="0004491D"/>
    <w:rsid w:val="00046D71"/>
    <w:rsid w:val="00046E88"/>
    <w:rsid w:val="00047003"/>
    <w:rsid w:val="0004761C"/>
    <w:rsid w:val="000504E3"/>
    <w:rsid w:val="00051D18"/>
    <w:rsid w:val="00051DAC"/>
    <w:rsid w:val="000520F3"/>
    <w:rsid w:val="00052793"/>
    <w:rsid w:val="00052902"/>
    <w:rsid w:val="00054E9D"/>
    <w:rsid w:val="0005501E"/>
    <w:rsid w:val="000550EC"/>
    <w:rsid w:val="00055BFD"/>
    <w:rsid w:val="00057E6E"/>
    <w:rsid w:val="00063CFD"/>
    <w:rsid w:val="00065443"/>
    <w:rsid w:val="00065B5F"/>
    <w:rsid w:val="0006626B"/>
    <w:rsid w:val="00066ED4"/>
    <w:rsid w:val="00066F37"/>
    <w:rsid w:val="00067A8F"/>
    <w:rsid w:val="0007290E"/>
    <w:rsid w:val="000742B5"/>
    <w:rsid w:val="00074AEA"/>
    <w:rsid w:val="00075BFC"/>
    <w:rsid w:val="00075E2B"/>
    <w:rsid w:val="00076CB2"/>
    <w:rsid w:val="00080BA9"/>
    <w:rsid w:val="00080DA9"/>
    <w:rsid w:val="0008121C"/>
    <w:rsid w:val="00082009"/>
    <w:rsid w:val="0008218C"/>
    <w:rsid w:val="0008304B"/>
    <w:rsid w:val="00084B38"/>
    <w:rsid w:val="00084B6D"/>
    <w:rsid w:val="000869F5"/>
    <w:rsid w:val="000879FF"/>
    <w:rsid w:val="000900C7"/>
    <w:rsid w:val="00094337"/>
    <w:rsid w:val="00094CF9"/>
    <w:rsid w:val="000956B0"/>
    <w:rsid w:val="000958A1"/>
    <w:rsid w:val="00096E1E"/>
    <w:rsid w:val="000973CA"/>
    <w:rsid w:val="00097888"/>
    <w:rsid w:val="000A02B4"/>
    <w:rsid w:val="000A0434"/>
    <w:rsid w:val="000A0D70"/>
    <w:rsid w:val="000A0E00"/>
    <w:rsid w:val="000A1445"/>
    <w:rsid w:val="000A22CD"/>
    <w:rsid w:val="000A2446"/>
    <w:rsid w:val="000A359F"/>
    <w:rsid w:val="000A4DB1"/>
    <w:rsid w:val="000A57AB"/>
    <w:rsid w:val="000A5839"/>
    <w:rsid w:val="000A596A"/>
    <w:rsid w:val="000A5B31"/>
    <w:rsid w:val="000A648C"/>
    <w:rsid w:val="000A64D4"/>
    <w:rsid w:val="000A6AC0"/>
    <w:rsid w:val="000A6CE1"/>
    <w:rsid w:val="000A75E4"/>
    <w:rsid w:val="000B19AF"/>
    <w:rsid w:val="000B1C27"/>
    <w:rsid w:val="000B1F7B"/>
    <w:rsid w:val="000B2651"/>
    <w:rsid w:val="000B48A1"/>
    <w:rsid w:val="000B5AD0"/>
    <w:rsid w:val="000B5CD5"/>
    <w:rsid w:val="000B69C0"/>
    <w:rsid w:val="000B7755"/>
    <w:rsid w:val="000B7C4B"/>
    <w:rsid w:val="000C1416"/>
    <w:rsid w:val="000C1738"/>
    <w:rsid w:val="000C1CE0"/>
    <w:rsid w:val="000C205E"/>
    <w:rsid w:val="000C23B7"/>
    <w:rsid w:val="000C298D"/>
    <w:rsid w:val="000C490F"/>
    <w:rsid w:val="000C5AD7"/>
    <w:rsid w:val="000C5D90"/>
    <w:rsid w:val="000C5F24"/>
    <w:rsid w:val="000C6FA6"/>
    <w:rsid w:val="000D1B7A"/>
    <w:rsid w:val="000D2348"/>
    <w:rsid w:val="000D2670"/>
    <w:rsid w:val="000D275D"/>
    <w:rsid w:val="000D3F6D"/>
    <w:rsid w:val="000D788A"/>
    <w:rsid w:val="000D7B87"/>
    <w:rsid w:val="000E019E"/>
    <w:rsid w:val="000E20C5"/>
    <w:rsid w:val="000E3180"/>
    <w:rsid w:val="000E3D03"/>
    <w:rsid w:val="000E55EC"/>
    <w:rsid w:val="000E664C"/>
    <w:rsid w:val="000E7115"/>
    <w:rsid w:val="000F2221"/>
    <w:rsid w:val="000F2250"/>
    <w:rsid w:val="000F2EE0"/>
    <w:rsid w:val="000F38E0"/>
    <w:rsid w:val="000F4EA3"/>
    <w:rsid w:val="000F54A8"/>
    <w:rsid w:val="000F57CC"/>
    <w:rsid w:val="000F5EA2"/>
    <w:rsid w:val="000F6050"/>
    <w:rsid w:val="000F6758"/>
    <w:rsid w:val="000F7127"/>
    <w:rsid w:val="000F7302"/>
    <w:rsid w:val="0010008E"/>
    <w:rsid w:val="00101C41"/>
    <w:rsid w:val="00103CD0"/>
    <w:rsid w:val="00106279"/>
    <w:rsid w:val="00106F10"/>
    <w:rsid w:val="00107D14"/>
    <w:rsid w:val="00110944"/>
    <w:rsid w:val="00111366"/>
    <w:rsid w:val="00112B1E"/>
    <w:rsid w:val="00112CDE"/>
    <w:rsid w:val="00112CE0"/>
    <w:rsid w:val="0011467B"/>
    <w:rsid w:val="001146C5"/>
    <w:rsid w:val="00114C71"/>
    <w:rsid w:val="001159DC"/>
    <w:rsid w:val="0012072A"/>
    <w:rsid w:val="00120939"/>
    <w:rsid w:val="00124248"/>
    <w:rsid w:val="00126252"/>
    <w:rsid w:val="001263F5"/>
    <w:rsid w:val="001278FD"/>
    <w:rsid w:val="001279A6"/>
    <w:rsid w:val="00130EF3"/>
    <w:rsid w:val="001316CD"/>
    <w:rsid w:val="00133F8C"/>
    <w:rsid w:val="00134BBA"/>
    <w:rsid w:val="00136AD3"/>
    <w:rsid w:val="00137742"/>
    <w:rsid w:val="001403F5"/>
    <w:rsid w:val="00140E1A"/>
    <w:rsid w:val="001426B9"/>
    <w:rsid w:val="001464FA"/>
    <w:rsid w:val="00147F9D"/>
    <w:rsid w:val="0015094B"/>
    <w:rsid w:val="0015380A"/>
    <w:rsid w:val="0015398E"/>
    <w:rsid w:val="00153BF7"/>
    <w:rsid w:val="00153C5A"/>
    <w:rsid w:val="00155349"/>
    <w:rsid w:val="00160D95"/>
    <w:rsid w:val="00163F32"/>
    <w:rsid w:val="0016586F"/>
    <w:rsid w:val="00166ED7"/>
    <w:rsid w:val="00170195"/>
    <w:rsid w:val="00170202"/>
    <w:rsid w:val="001725D6"/>
    <w:rsid w:val="0017377F"/>
    <w:rsid w:val="00175E88"/>
    <w:rsid w:val="0017622F"/>
    <w:rsid w:val="0017630F"/>
    <w:rsid w:val="0018017E"/>
    <w:rsid w:val="0018216E"/>
    <w:rsid w:val="0018462B"/>
    <w:rsid w:val="00185677"/>
    <w:rsid w:val="00190983"/>
    <w:rsid w:val="00190C77"/>
    <w:rsid w:val="00190FBD"/>
    <w:rsid w:val="0019196F"/>
    <w:rsid w:val="00192005"/>
    <w:rsid w:val="00193840"/>
    <w:rsid w:val="001952B5"/>
    <w:rsid w:val="001955B2"/>
    <w:rsid w:val="00196947"/>
    <w:rsid w:val="001971DE"/>
    <w:rsid w:val="00197D8A"/>
    <w:rsid w:val="001A0C2F"/>
    <w:rsid w:val="001A17D7"/>
    <w:rsid w:val="001A1B2D"/>
    <w:rsid w:val="001A1BE9"/>
    <w:rsid w:val="001A1CE8"/>
    <w:rsid w:val="001A439C"/>
    <w:rsid w:val="001A5002"/>
    <w:rsid w:val="001A5134"/>
    <w:rsid w:val="001A6A70"/>
    <w:rsid w:val="001A7DF3"/>
    <w:rsid w:val="001B0F49"/>
    <w:rsid w:val="001B1AAB"/>
    <w:rsid w:val="001B3F90"/>
    <w:rsid w:val="001B49F3"/>
    <w:rsid w:val="001B4FCA"/>
    <w:rsid w:val="001B5B27"/>
    <w:rsid w:val="001B5BB2"/>
    <w:rsid w:val="001B6DCD"/>
    <w:rsid w:val="001B72CA"/>
    <w:rsid w:val="001C0136"/>
    <w:rsid w:val="001C0928"/>
    <w:rsid w:val="001C1203"/>
    <w:rsid w:val="001C243F"/>
    <w:rsid w:val="001C2ADB"/>
    <w:rsid w:val="001C2ED4"/>
    <w:rsid w:val="001C5270"/>
    <w:rsid w:val="001C5F47"/>
    <w:rsid w:val="001C6650"/>
    <w:rsid w:val="001C78F4"/>
    <w:rsid w:val="001D0F88"/>
    <w:rsid w:val="001D1191"/>
    <w:rsid w:val="001D1F77"/>
    <w:rsid w:val="001D2787"/>
    <w:rsid w:val="001D3381"/>
    <w:rsid w:val="001D3B2A"/>
    <w:rsid w:val="001D50D5"/>
    <w:rsid w:val="001D5704"/>
    <w:rsid w:val="001D59A3"/>
    <w:rsid w:val="001D5EAB"/>
    <w:rsid w:val="001D6527"/>
    <w:rsid w:val="001D6A40"/>
    <w:rsid w:val="001D6FAA"/>
    <w:rsid w:val="001D7A15"/>
    <w:rsid w:val="001E0270"/>
    <w:rsid w:val="001E0706"/>
    <w:rsid w:val="001E4C83"/>
    <w:rsid w:val="001E519E"/>
    <w:rsid w:val="001E57FA"/>
    <w:rsid w:val="001E652B"/>
    <w:rsid w:val="001E65CA"/>
    <w:rsid w:val="001E705B"/>
    <w:rsid w:val="001F0191"/>
    <w:rsid w:val="001F0557"/>
    <w:rsid w:val="001F06FA"/>
    <w:rsid w:val="001F2AC0"/>
    <w:rsid w:val="001F6285"/>
    <w:rsid w:val="001F6AFD"/>
    <w:rsid w:val="001F7AC1"/>
    <w:rsid w:val="002003A2"/>
    <w:rsid w:val="00201A5F"/>
    <w:rsid w:val="00201ADC"/>
    <w:rsid w:val="00201B36"/>
    <w:rsid w:val="0020208E"/>
    <w:rsid w:val="0020210A"/>
    <w:rsid w:val="00202253"/>
    <w:rsid w:val="002022D7"/>
    <w:rsid w:val="0020257F"/>
    <w:rsid w:val="00202625"/>
    <w:rsid w:val="00202A5E"/>
    <w:rsid w:val="0020627A"/>
    <w:rsid w:val="00206A94"/>
    <w:rsid w:val="002075D7"/>
    <w:rsid w:val="00210B3B"/>
    <w:rsid w:val="00211240"/>
    <w:rsid w:val="002116A8"/>
    <w:rsid w:val="0021387A"/>
    <w:rsid w:val="00213A49"/>
    <w:rsid w:val="00213CD9"/>
    <w:rsid w:val="002169D0"/>
    <w:rsid w:val="00217C25"/>
    <w:rsid w:val="002200DF"/>
    <w:rsid w:val="00220BD6"/>
    <w:rsid w:val="002218B9"/>
    <w:rsid w:val="002220AF"/>
    <w:rsid w:val="00223B9A"/>
    <w:rsid w:val="00223D50"/>
    <w:rsid w:val="00224270"/>
    <w:rsid w:val="00225321"/>
    <w:rsid w:val="0022596F"/>
    <w:rsid w:val="00226440"/>
    <w:rsid w:val="0022654B"/>
    <w:rsid w:val="00226D53"/>
    <w:rsid w:val="00231764"/>
    <w:rsid w:val="00231C5F"/>
    <w:rsid w:val="0023311A"/>
    <w:rsid w:val="00233751"/>
    <w:rsid w:val="00234396"/>
    <w:rsid w:val="002344EC"/>
    <w:rsid w:val="0023475E"/>
    <w:rsid w:val="00237C85"/>
    <w:rsid w:val="00240028"/>
    <w:rsid w:val="00241259"/>
    <w:rsid w:val="002419EF"/>
    <w:rsid w:val="002423BD"/>
    <w:rsid w:val="002428C3"/>
    <w:rsid w:val="00242E44"/>
    <w:rsid w:val="002435EB"/>
    <w:rsid w:val="002440B5"/>
    <w:rsid w:val="00245816"/>
    <w:rsid w:val="00245A14"/>
    <w:rsid w:val="0025003C"/>
    <w:rsid w:val="00251303"/>
    <w:rsid w:val="00252B62"/>
    <w:rsid w:val="00253B08"/>
    <w:rsid w:val="00254751"/>
    <w:rsid w:val="00256062"/>
    <w:rsid w:val="00256C95"/>
    <w:rsid w:val="002602CD"/>
    <w:rsid w:val="002608E1"/>
    <w:rsid w:val="00260936"/>
    <w:rsid w:val="00260F2D"/>
    <w:rsid w:val="00261455"/>
    <w:rsid w:val="00261D92"/>
    <w:rsid w:val="002629C6"/>
    <w:rsid w:val="002630A6"/>
    <w:rsid w:val="00264A81"/>
    <w:rsid w:val="00265A6D"/>
    <w:rsid w:val="00265F99"/>
    <w:rsid w:val="002672C6"/>
    <w:rsid w:val="00273A30"/>
    <w:rsid w:val="00273DF4"/>
    <w:rsid w:val="00274941"/>
    <w:rsid w:val="00274DD5"/>
    <w:rsid w:val="0027726D"/>
    <w:rsid w:val="002774DA"/>
    <w:rsid w:val="0028037E"/>
    <w:rsid w:val="0028080E"/>
    <w:rsid w:val="00280843"/>
    <w:rsid w:val="00280D3D"/>
    <w:rsid w:val="00280D3E"/>
    <w:rsid w:val="00281F5B"/>
    <w:rsid w:val="00281F6F"/>
    <w:rsid w:val="0028295E"/>
    <w:rsid w:val="00282C2A"/>
    <w:rsid w:val="002845EC"/>
    <w:rsid w:val="00284850"/>
    <w:rsid w:val="00286497"/>
    <w:rsid w:val="00290ABB"/>
    <w:rsid w:val="00290FAC"/>
    <w:rsid w:val="002910BB"/>
    <w:rsid w:val="00292FE2"/>
    <w:rsid w:val="002931AF"/>
    <w:rsid w:val="002949F8"/>
    <w:rsid w:val="00294D05"/>
    <w:rsid w:val="002961EB"/>
    <w:rsid w:val="00296E1D"/>
    <w:rsid w:val="002A1833"/>
    <w:rsid w:val="002A191D"/>
    <w:rsid w:val="002A1D4D"/>
    <w:rsid w:val="002A1E70"/>
    <w:rsid w:val="002A20C1"/>
    <w:rsid w:val="002A3085"/>
    <w:rsid w:val="002A373A"/>
    <w:rsid w:val="002A3BB5"/>
    <w:rsid w:val="002A4E0D"/>
    <w:rsid w:val="002A681D"/>
    <w:rsid w:val="002A7695"/>
    <w:rsid w:val="002A7745"/>
    <w:rsid w:val="002B2BED"/>
    <w:rsid w:val="002B32A8"/>
    <w:rsid w:val="002B382D"/>
    <w:rsid w:val="002B3E82"/>
    <w:rsid w:val="002B3EEE"/>
    <w:rsid w:val="002B5905"/>
    <w:rsid w:val="002C0AFD"/>
    <w:rsid w:val="002C0C45"/>
    <w:rsid w:val="002C1BCC"/>
    <w:rsid w:val="002C2044"/>
    <w:rsid w:val="002C2640"/>
    <w:rsid w:val="002C2708"/>
    <w:rsid w:val="002C3A1A"/>
    <w:rsid w:val="002C50AB"/>
    <w:rsid w:val="002C7105"/>
    <w:rsid w:val="002C73E9"/>
    <w:rsid w:val="002C764F"/>
    <w:rsid w:val="002C7C59"/>
    <w:rsid w:val="002D0452"/>
    <w:rsid w:val="002D16E1"/>
    <w:rsid w:val="002D17C3"/>
    <w:rsid w:val="002D246E"/>
    <w:rsid w:val="002D2FC5"/>
    <w:rsid w:val="002D4543"/>
    <w:rsid w:val="002D5150"/>
    <w:rsid w:val="002D5B0D"/>
    <w:rsid w:val="002D64A0"/>
    <w:rsid w:val="002D684E"/>
    <w:rsid w:val="002D71E9"/>
    <w:rsid w:val="002D746C"/>
    <w:rsid w:val="002E013B"/>
    <w:rsid w:val="002E0795"/>
    <w:rsid w:val="002E10E4"/>
    <w:rsid w:val="002E11A2"/>
    <w:rsid w:val="002E15B4"/>
    <w:rsid w:val="002E18EC"/>
    <w:rsid w:val="002E21B0"/>
    <w:rsid w:val="002E2695"/>
    <w:rsid w:val="002E43B6"/>
    <w:rsid w:val="002E5C5A"/>
    <w:rsid w:val="002E64FD"/>
    <w:rsid w:val="002E6543"/>
    <w:rsid w:val="002E7456"/>
    <w:rsid w:val="002F052A"/>
    <w:rsid w:val="002F203D"/>
    <w:rsid w:val="002F239D"/>
    <w:rsid w:val="002F3100"/>
    <w:rsid w:val="002F39B9"/>
    <w:rsid w:val="002F5BB0"/>
    <w:rsid w:val="002F7C7D"/>
    <w:rsid w:val="003002DC"/>
    <w:rsid w:val="003004DF"/>
    <w:rsid w:val="00300B96"/>
    <w:rsid w:val="00300B97"/>
    <w:rsid w:val="00300E28"/>
    <w:rsid w:val="00303697"/>
    <w:rsid w:val="0030370C"/>
    <w:rsid w:val="00303E90"/>
    <w:rsid w:val="003059A3"/>
    <w:rsid w:val="00307360"/>
    <w:rsid w:val="00310230"/>
    <w:rsid w:val="00312084"/>
    <w:rsid w:val="0031559A"/>
    <w:rsid w:val="00316F0F"/>
    <w:rsid w:val="00325A2B"/>
    <w:rsid w:val="00326051"/>
    <w:rsid w:val="00327054"/>
    <w:rsid w:val="00330D4A"/>
    <w:rsid w:val="003320D8"/>
    <w:rsid w:val="003322FF"/>
    <w:rsid w:val="0033346D"/>
    <w:rsid w:val="00334539"/>
    <w:rsid w:val="00334552"/>
    <w:rsid w:val="003353BD"/>
    <w:rsid w:val="00337CE1"/>
    <w:rsid w:val="00341483"/>
    <w:rsid w:val="00343669"/>
    <w:rsid w:val="00343AB9"/>
    <w:rsid w:val="003458C5"/>
    <w:rsid w:val="00345E92"/>
    <w:rsid w:val="00346683"/>
    <w:rsid w:val="00350253"/>
    <w:rsid w:val="003511F1"/>
    <w:rsid w:val="00351F46"/>
    <w:rsid w:val="003539B3"/>
    <w:rsid w:val="00355334"/>
    <w:rsid w:val="00355A0C"/>
    <w:rsid w:val="00356716"/>
    <w:rsid w:val="00356A5E"/>
    <w:rsid w:val="00360AB4"/>
    <w:rsid w:val="00361856"/>
    <w:rsid w:val="003622DE"/>
    <w:rsid w:val="003631A3"/>
    <w:rsid w:val="00364CB2"/>
    <w:rsid w:val="00365377"/>
    <w:rsid w:val="00370813"/>
    <w:rsid w:val="00371345"/>
    <w:rsid w:val="00373833"/>
    <w:rsid w:val="00373C68"/>
    <w:rsid w:val="0037548F"/>
    <w:rsid w:val="00376B9B"/>
    <w:rsid w:val="0038026A"/>
    <w:rsid w:val="003806D3"/>
    <w:rsid w:val="00381BEC"/>
    <w:rsid w:val="00381E7A"/>
    <w:rsid w:val="003821A8"/>
    <w:rsid w:val="00382D28"/>
    <w:rsid w:val="003836D8"/>
    <w:rsid w:val="003851B0"/>
    <w:rsid w:val="00386321"/>
    <w:rsid w:val="00386E8E"/>
    <w:rsid w:val="0038711D"/>
    <w:rsid w:val="00390607"/>
    <w:rsid w:val="00390AA0"/>
    <w:rsid w:val="003911C1"/>
    <w:rsid w:val="00391479"/>
    <w:rsid w:val="00394814"/>
    <w:rsid w:val="00395421"/>
    <w:rsid w:val="003955B6"/>
    <w:rsid w:val="0039591C"/>
    <w:rsid w:val="00395B07"/>
    <w:rsid w:val="003A1F09"/>
    <w:rsid w:val="003A2215"/>
    <w:rsid w:val="003A346A"/>
    <w:rsid w:val="003A4630"/>
    <w:rsid w:val="003A48C8"/>
    <w:rsid w:val="003A49A7"/>
    <w:rsid w:val="003A4E52"/>
    <w:rsid w:val="003A6D56"/>
    <w:rsid w:val="003A6EAE"/>
    <w:rsid w:val="003B014C"/>
    <w:rsid w:val="003B0BA1"/>
    <w:rsid w:val="003B0F73"/>
    <w:rsid w:val="003B2676"/>
    <w:rsid w:val="003B2A0B"/>
    <w:rsid w:val="003B305D"/>
    <w:rsid w:val="003B336E"/>
    <w:rsid w:val="003B33EF"/>
    <w:rsid w:val="003B4DB9"/>
    <w:rsid w:val="003B54FA"/>
    <w:rsid w:val="003C0883"/>
    <w:rsid w:val="003C1ECF"/>
    <w:rsid w:val="003C3202"/>
    <w:rsid w:val="003C3A47"/>
    <w:rsid w:val="003D07FD"/>
    <w:rsid w:val="003D29E3"/>
    <w:rsid w:val="003D3B27"/>
    <w:rsid w:val="003D5442"/>
    <w:rsid w:val="003D6195"/>
    <w:rsid w:val="003D6841"/>
    <w:rsid w:val="003D6BFD"/>
    <w:rsid w:val="003D7471"/>
    <w:rsid w:val="003E2103"/>
    <w:rsid w:val="003E28DF"/>
    <w:rsid w:val="003E28E2"/>
    <w:rsid w:val="003E3078"/>
    <w:rsid w:val="003E3AB3"/>
    <w:rsid w:val="003E4580"/>
    <w:rsid w:val="003E462E"/>
    <w:rsid w:val="003E5372"/>
    <w:rsid w:val="003E6267"/>
    <w:rsid w:val="003E6AAA"/>
    <w:rsid w:val="003F16E2"/>
    <w:rsid w:val="003F3ED5"/>
    <w:rsid w:val="003F4128"/>
    <w:rsid w:val="003F44AE"/>
    <w:rsid w:val="003F4CFE"/>
    <w:rsid w:val="003F4DA3"/>
    <w:rsid w:val="003F4DBC"/>
    <w:rsid w:val="003F5155"/>
    <w:rsid w:val="003F57E2"/>
    <w:rsid w:val="003F6ED0"/>
    <w:rsid w:val="003F7697"/>
    <w:rsid w:val="00400749"/>
    <w:rsid w:val="0040157D"/>
    <w:rsid w:val="00401B1F"/>
    <w:rsid w:val="00403E80"/>
    <w:rsid w:val="00406571"/>
    <w:rsid w:val="0040697E"/>
    <w:rsid w:val="0040709A"/>
    <w:rsid w:val="00410238"/>
    <w:rsid w:val="004108A9"/>
    <w:rsid w:val="00412499"/>
    <w:rsid w:val="00413905"/>
    <w:rsid w:val="00413E3D"/>
    <w:rsid w:val="00414985"/>
    <w:rsid w:val="00414A48"/>
    <w:rsid w:val="00414FBB"/>
    <w:rsid w:val="0041507D"/>
    <w:rsid w:val="00415758"/>
    <w:rsid w:val="00416B5E"/>
    <w:rsid w:val="004173D7"/>
    <w:rsid w:val="004206C1"/>
    <w:rsid w:val="00420AEA"/>
    <w:rsid w:val="00421448"/>
    <w:rsid w:val="00421E9B"/>
    <w:rsid w:val="004223F8"/>
    <w:rsid w:val="00424578"/>
    <w:rsid w:val="004248FE"/>
    <w:rsid w:val="00426113"/>
    <w:rsid w:val="0042696E"/>
    <w:rsid w:val="00427C0A"/>
    <w:rsid w:val="0043006F"/>
    <w:rsid w:val="0043118A"/>
    <w:rsid w:val="004333BA"/>
    <w:rsid w:val="00433FF9"/>
    <w:rsid w:val="00434880"/>
    <w:rsid w:val="004357B2"/>
    <w:rsid w:val="00436260"/>
    <w:rsid w:val="00437236"/>
    <w:rsid w:val="00437EC2"/>
    <w:rsid w:val="004407BF"/>
    <w:rsid w:val="004424EC"/>
    <w:rsid w:val="004436BD"/>
    <w:rsid w:val="004449CF"/>
    <w:rsid w:val="00445A52"/>
    <w:rsid w:val="00446A74"/>
    <w:rsid w:val="00446C7B"/>
    <w:rsid w:val="00446D19"/>
    <w:rsid w:val="00446D56"/>
    <w:rsid w:val="004500A2"/>
    <w:rsid w:val="004520FB"/>
    <w:rsid w:val="00452493"/>
    <w:rsid w:val="0045342F"/>
    <w:rsid w:val="004546D7"/>
    <w:rsid w:val="00455686"/>
    <w:rsid w:val="0045669A"/>
    <w:rsid w:val="0045729C"/>
    <w:rsid w:val="004578F1"/>
    <w:rsid w:val="00460B32"/>
    <w:rsid w:val="00460DF2"/>
    <w:rsid w:val="00461EA5"/>
    <w:rsid w:val="0046219B"/>
    <w:rsid w:val="004629C9"/>
    <w:rsid w:val="00463789"/>
    <w:rsid w:val="00465228"/>
    <w:rsid w:val="00465548"/>
    <w:rsid w:val="00467548"/>
    <w:rsid w:val="00470941"/>
    <w:rsid w:val="004710B2"/>
    <w:rsid w:val="004724B6"/>
    <w:rsid w:val="004729D4"/>
    <w:rsid w:val="00472B95"/>
    <w:rsid w:val="00474173"/>
    <w:rsid w:val="00474D00"/>
    <w:rsid w:val="00475336"/>
    <w:rsid w:val="0047740B"/>
    <w:rsid w:val="00477E60"/>
    <w:rsid w:val="004822ED"/>
    <w:rsid w:val="00482466"/>
    <w:rsid w:val="00482A5D"/>
    <w:rsid w:val="00482F92"/>
    <w:rsid w:val="00484817"/>
    <w:rsid w:val="00484B19"/>
    <w:rsid w:val="0048520E"/>
    <w:rsid w:val="0048589F"/>
    <w:rsid w:val="00485CCC"/>
    <w:rsid w:val="0048629A"/>
    <w:rsid w:val="004875A0"/>
    <w:rsid w:val="00491725"/>
    <w:rsid w:val="004917D1"/>
    <w:rsid w:val="004931DC"/>
    <w:rsid w:val="004948F4"/>
    <w:rsid w:val="004951B9"/>
    <w:rsid w:val="004A08D1"/>
    <w:rsid w:val="004A18C7"/>
    <w:rsid w:val="004A2A3A"/>
    <w:rsid w:val="004A2B06"/>
    <w:rsid w:val="004A2D2E"/>
    <w:rsid w:val="004A3192"/>
    <w:rsid w:val="004A3D42"/>
    <w:rsid w:val="004A54EE"/>
    <w:rsid w:val="004A6051"/>
    <w:rsid w:val="004A6A3B"/>
    <w:rsid w:val="004A718A"/>
    <w:rsid w:val="004A734D"/>
    <w:rsid w:val="004A7715"/>
    <w:rsid w:val="004A7A69"/>
    <w:rsid w:val="004A7C25"/>
    <w:rsid w:val="004A7CBE"/>
    <w:rsid w:val="004A7EDF"/>
    <w:rsid w:val="004B028A"/>
    <w:rsid w:val="004B078F"/>
    <w:rsid w:val="004B0B32"/>
    <w:rsid w:val="004B1588"/>
    <w:rsid w:val="004B193B"/>
    <w:rsid w:val="004B2901"/>
    <w:rsid w:val="004C0741"/>
    <w:rsid w:val="004C0A20"/>
    <w:rsid w:val="004C0D7E"/>
    <w:rsid w:val="004C2B03"/>
    <w:rsid w:val="004C43E8"/>
    <w:rsid w:val="004C4448"/>
    <w:rsid w:val="004D1B64"/>
    <w:rsid w:val="004D1BC2"/>
    <w:rsid w:val="004D1CE4"/>
    <w:rsid w:val="004D2D7F"/>
    <w:rsid w:val="004D2ED8"/>
    <w:rsid w:val="004D45A5"/>
    <w:rsid w:val="004D47D1"/>
    <w:rsid w:val="004E04E1"/>
    <w:rsid w:val="004E11CF"/>
    <w:rsid w:val="004E133E"/>
    <w:rsid w:val="004E13E6"/>
    <w:rsid w:val="004E14A6"/>
    <w:rsid w:val="004E1EE0"/>
    <w:rsid w:val="004E2D2A"/>
    <w:rsid w:val="004E30E1"/>
    <w:rsid w:val="004E337E"/>
    <w:rsid w:val="004E5197"/>
    <w:rsid w:val="004E771E"/>
    <w:rsid w:val="004F23CA"/>
    <w:rsid w:val="004F5F3D"/>
    <w:rsid w:val="0050644B"/>
    <w:rsid w:val="0050681C"/>
    <w:rsid w:val="00506935"/>
    <w:rsid w:val="0050742A"/>
    <w:rsid w:val="00510591"/>
    <w:rsid w:val="0051111E"/>
    <w:rsid w:val="00512114"/>
    <w:rsid w:val="00512311"/>
    <w:rsid w:val="00513962"/>
    <w:rsid w:val="00514452"/>
    <w:rsid w:val="00514AF6"/>
    <w:rsid w:val="0051541B"/>
    <w:rsid w:val="005168AD"/>
    <w:rsid w:val="00520418"/>
    <w:rsid w:val="005243E9"/>
    <w:rsid w:val="00524DCB"/>
    <w:rsid w:val="005263BF"/>
    <w:rsid w:val="005268C0"/>
    <w:rsid w:val="00526BB5"/>
    <w:rsid w:val="00526DE9"/>
    <w:rsid w:val="00527B1D"/>
    <w:rsid w:val="00527CF3"/>
    <w:rsid w:val="00530E46"/>
    <w:rsid w:val="005311E2"/>
    <w:rsid w:val="005331A1"/>
    <w:rsid w:val="00533B21"/>
    <w:rsid w:val="005347F5"/>
    <w:rsid w:val="00535136"/>
    <w:rsid w:val="00536A2B"/>
    <w:rsid w:val="00536AE4"/>
    <w:rsid w:val="00536C96"/>
    <w:rsid w:val="0054214E"/>
    <w:rsid w:val="00542636"/>
    <w:rsid w:val="00542C42"/>
    <w:rsid w:val="00542D66"/>
    <w:rsid w:val="005459BD"/>
    <w:rsid w:val="0054600B"/>
    <w:rsid w:val="005464CD"/>
    <w:rsid w:val="0055034A"/>
    <w:rsid w:val="00551338"/>
    <w:rsid w:val="00552C20"/>
    <w:rsid w:val="00552C7A"/>
    <w:rsid w:val="00552E5F"/>
    <w:rsid w:val="00554197"/>
    <w:rsid w:val="005555D2"/>
    <w:rsid w:val="00555B1E"/>
    <w:rsid w:val="00556A4A"/>
    <w:rsid w:val="005600EC"/>
    <w:rsid w:val="00560F20"/>
    <w:rsid w:val="005624A0"/>
    <w:rsid w:val="005634A1"/>
    <w:rsid w:val="00564882"/>
    <w:rsid w:val="005652D7"/>
    <w:rsid w:val="005656B9"/>
    <w:rsid w:val="00566FB0"/>
    <w:rsid w:val="005674D3"/>
    <w:rsid w:val="0056771A"/>
    <w:rsid w:val="0057170B"/>
    <w:rsid w:val="00573330"/>
    <w:rsid w:val="005753D4"/>
    <w:rsid w:val="00581987"/>
    <w:rsid w:val="00583366"/>
    <w:rsid w:val="00583F76"/>
    <w:rsid w:val="00584495"/>
    <w:rsid w:val="0058502D"/>
    <w:rsid w:val="005853E4"/>
    <w:rsid w:val="00586ABD"/>
    <w:rsid w:val="00586FD9"/>
    <w:rsid w:val="00587BA3"/>
    <w:rsid w:val="005900E6"/>
    <w:rsid w:val="00590379"/>
    <w:rsid w:val="0059048B"/>
    <w:rsid w:val="00590B3C"/>
    <w:rsid w:val="00590E7E"/>
    <w:rsid w:val="005921E4"/>
    <w:rsid w:val="00592C6D"/>
    <w:rsid w:val="0059316D"/>
    <w:rsid w:val="00593C32"/>
    <w:rsid w:val="0059426D"/>
    <w:rsid w:val="005946CD"/>
    <w:rsid w:val="00594CCF"/>
    <w:rsid w:val="00594FEE"/>
    <w:rsid w:val="00595843"/>
    <w:rsid w:val="00597A39"/>
    <w:rsid w:val="005A06A0"/>
    <w:rsid w:val="005A448C"/>
    <w:rsid w:val="005A4C52"/>
    <w:rsid w:val="005A59D9"/>
    <w:rsid w:val="005A628F"/>
    <w:rsid w:val="005A680D"/>
    <w:rsid w:val="005A75AC"/>
    <w:rsid w:val="005A7E0D"/>
    <w:rsid w:val="005B0959"/>
    <w:rsid w:val="005B2B38"/>
    <w:rsid w:val="005B4106"/>
    <w:rsid w:val="005B5292"/>
    <w:rsid w:val="005B6BE5"/>
    <w:rsid w:val="005B7305"/>
    <w:rsid w:val="005B7625"/>
    <w:rsid w:val="005C0268"/>
    <w:rsid w:val="005C034B"/>
    <w:rsid w:val="005C2532"/>
    <w:rsid w:val="005C2B50"/>
    <w:rsid w:val="005C2D27"/>
    <w:rsid w:val="005C33AD"/>
    <w:rsid w:val="005C51B1"/>
    <w:rsid w:val="005C5577"/>
    <w:rsid w:val="005C61B1"/>
    <w:rsid w:val="005C792F"/>
    <w:rsid w:val="005D00CB"/>
    <w:rsid w:val="005D2519"/>
    <w:rsid w:val="005D455B"/>
    <w:rsid w:val="005D70AA"/>
    <w:rsid w:val="005D7476"/>
    <w:rsid w:val="005D7477"/>
    <w:rsid w:val="005D7551"/>
    <w:rsid w:val="005E0049"/>
    <w:rsid w:val="005E26DC"/>
    <w:rsid w:val="005E369C"/>
    <w:rsid w:val="005E3EFC"/>
    <w:rsid w:val="005E5637"/>
    <w:rsid w:val="005E6498"/>
    <w:rsid w:val="005E7C75"/>
    <w:rsid w:val="005F2841"/>
    <w:rsid w:val="005F2CAE"/>
    <w:rsid w:val="005F6205"/>
    <w:rsid w:val="005F7239"/>
    <w:rsid w:val="006017F3"/>
    <w:rsid w:val="00602169"/>
    <w:rsid w:val="00602231"/>
    <w:rsid w:val="00602833"/>
    <w:rsid w:val="00604097"/>
    <w:rsid w:val="00604DAD"/>
    <w:rsid w:val="00605248"/>
    <w:rsid w:val="00605B94"/>
    <w:rsid w:val="00611401"/>
    <w:rsid w:val="00612B97"/>
    <w:rsid w:val="00613059"/>
    <w:rsid w:val="00615298"/>
    <w:rsid w:val="00615A76"/>
    <w:rsid w:val="00615F7B"/>
    <w:rsid w:val="006174EA"/>
    <w:rsid w:val="00617E9E"/>
    <w:rsid w:val="0062074E"/>
    <w:rsid w:val="00620E6C"/>
    <w:rsid w:val="006213E5"/>
    <w:rsid w:val="00623CA0"/>
    <w:rsid w:val="0062480E"/>
    <w:rsid w:val="00626713"/>
    <w:rsid w:val="00630A26"/>
    <w:rsid w:val="00631F1F"/>
    <w:rsid w:val="00632889"/>
    <w:rsid w:val="006330BE"/>
    <w:rsid w:val="00633448"/>
    <w:rsid w:val="006335A3"/>
    <w:rsid w:val="006335FE"/>
    <w:rsid w:val="006341F5"/>
    <w:rsid w:val="0063446C"/>
    <w:rsid w:val="00634F69"/>
    <w:rsid w:val="00635CFA"/>
    <w:rsid w:val="00635DA6"/>
    <w:rsid w:val="0063612E"/>
    <w:rsid w:val="0063748D"/>
    <w:rsid w:val="00637732"/>
    <w:rsid w:val="00637943"/>
    <w:rsid w:val="00640111"/>
    <w:rsid w:val="00641636"/>
    <w:rsid w:val="00642B44"/>
    <w:rsid w:val="00643933"/>
    <w:rsid w:val="00643ABC"/>
    <w:rsid w:val="006454DA"/>
    <w:rsid w:val="00645EEB"/>
    <w:rsid w:val="00646C82"/>
    <w:rsid w:val="00646F99"/>
    <w:rsid w:val="006500F5"/>
    <w:rsid w:val="00650911"/>
    <w:rsid w:val="0065119D"/>
    <w:rsid w:val="006512D9"/>
    <w:rsid w:val="00651A7D"/>
    <w:rsid w:val="00652E79"/>
    <w:rsid w:val="00652F48"/>
    <w:rsid w:val="006536CE"/>
    <w:rsid w:val="00654F33"/>
    <w:rsid w:val="00655CB1"/>
    <w:rsid w:val="00655F6A"/>
    <w:rsid w:val="00661BDA"/>
    <w:rsid w:val="006624D4"/>
    <w:rsid w:val="00662A50"/>
    <w:rsid w:val="00662EFA"/>
    <w:rsid w:val="00664009"/>
    <w:rsid w:val="006646EA"/>
    <w:rsid w:val="00665606"/>
    <w:rsid w:val="006656ED"/>
    <w:rsid w:val="00671B1E"/>
    <w:rsid w:val="006727E9"/>
    <w:rsid w:val="00672B21"/>
    <w:rsid w:val="00674539"/>
    <w:rsid w:val="0067470E"/>
    <w:rsid w:val="00674984"/>
    <w:rsid w:val="006758E1"/>
    <w:rsid w:val="00681CC4"/>
    <w:rsid w:val="00685C80"/>
    <w:rsid w:val="0068640A"/>
    <w:rsid w:val="006911C3"/>
    <w:rsid w:val="006917D9"/>
    <w:rsid w:val="006920DF"/>
    <w:rsid w:val="00692DF4"/>
    <w:rsid w:val="006955F3"/>
    <w:rsid w:val="00695C5A"/>
    <w:rsid w:val="006962E2"/>
    <w:rsid w:val="00696B09"/>
    <w:rsid w:val="00697113"/>
    <w:rsid w:val="00697984"/>
    <w:rsid w:val="00697A58"/>
    <w:rsid w:val="006A0259"/>
    <w:rsid w:val="006A0353"/>
    <w:rsid w:val="006A0EEC"/>
    <w:rsid w:val="006A1B6D"/>
    <w:rsid w:val="006A1C64"/>
    <w:rsid w:val="006A2465"/>
    <w:rsid w:val="006A2C84"/>
    <w:rsid w:val="006A4609"/>
    <w:rsid w:val="006A551D"/>
    <w:rsid w:val="006A5E2E"/>
    <w:rsid w:val="006A60B4"/>
    <w:rsid w:val="006A622E"/>
    <w:rsid w:val="006A6887"/>
    <w:rsid w:val="006A6FB6"/>
    <w:rsid w:val="006A7878"/>
    <w:rsid w:val="006A7B5F"/>
    <w:rsid w:val="006B0ADB"/>
    <w:rsid w:val="006B1A3F"/>
    <w:rsid w:val="006B1EB1"/>
    <w:rsid w:val="006B2CC7"/>
    <w:rsid w:val="006B41A2"/>
    <w:rsid w:val="006B48B0"/>
    <w:rsid w:val="006B63A4"/>
    <w:rsid w:val="006B6419"/>
    <w:rsid w:val="006B68F9"/>
    <w:rsid w:val="006B74EE"/>
    <w:rsid w:val="006B75B6"/>
    <w:rsid w:val="006C076C"/>
    <w:rsid w:val="006C28B3"/>
    <w:rsid w:val="006C2D18"/>
    <w:rsid w:val="006C370A"/>
    <w:rsid w:val="006C4741"/>
    <w:rsid w:val="006C75EF"/>
    <w:rsid w:val="006C7BEA"/>
    <w:rsid w:val="006D1627"/>
    <w:rsid w:val="006D1BB0"/>
    <w:rsid w:val="006D1BD9"/>
    <w:rsid w:val="006D3851"/>
    <w:rsid w:val="006D4DDA"/>
    <w:rsid w:val="006D5C90"/>
    <w:rsid w:val="006E015F"/>
    <w:rsid w:val="006E0AB9"/>
    <w:rsid w:val="006E11AF"/>
    <w:rsid w:val="006E2E37"/>
    <w:rsid w:val="006E588F"/>
    <w:rsid w:val="006E70F2"/>
    <w:rsid w:val="006F08A7"/>
    <w:rsid w:val="006F1C42"/>
    <w:rsid w:val="006F1E0A"/>
    <w:rsid w:val="006F38DB"/>
    <w:rsid w:val="006F5A99"/>
    <w:rsid w:val="006F5B35"/>
    <w:rsid w:val="006F7E10"/>
    <w:rsid w:val="00702CBF"/>
    <w:rsid w:val="00703B7D"/>
    <w:rsid w:val="00705835"/>
    <w:rsid w:val="00705AD4"/>
    <w:rsid w:val="00705B5C"/>
    <w:rsid w:val="00706461"/>
    <w:rsid w:val="007078A4"/>
    <w:rsid w:val="00707965"/>
    <w:rsid w:val="00710F8D"/>
    <w:rsid w:val="00710FFB"/>
    <w:rsid w:val="007124E1"/>
    <w:rsid w:val="00713E74"/>
    <w:rsid w:val="007143E2"/>
    <w:rsid w:val="00714D1B"/>
    <w:rsid w:val="00715B7F"/>
    <w:rsid w:val="007172F5"/>
    <w:rsid w:val="00721CFA"/>
    <w:rsid w:val="00722A0A"/>
    <w:rsid w:val="00723A16"/>
    <w:rsid w:val="0072478E"/>
    <w:rsid w:val="00724E24"/>
    <w:rsid w:val="007264EA"/>
    <w:rsid w:val="00726A60"/>
    <w:rsid w:val="00727486"/>
    <w:rsid w:val="007303B3"/>
    <w:rsid w:val="00730502"/>
    <w:rsid w:val="00736F75"/>
    <w:rsid w:val="007377D1"/>
    <w:rsid w:val="007400FC"/>
    <w:rsid w:val="0074012F"/>
    <w:rsid w:val="00742D13"/>
    <w:rsid w:val="00743880"/>
    <w:rsid w:val="0074706E"/>
    <w:rsid w:val="00747205"/>
    <w:rsid w:val="00750658"/>
    <w:rsid w:val="00751372"/>
    <w:rsid w:val="0075160E"/>
    <w:rsid w:val="007526B6"/>
    <w:rsid w:val="00753576"/>
    <w:rsid w:val="00753A26"/>
    <w:rsid w:val="00754607"/>
    <w:rsid w:val="00755A43"/>
    <w:rsid w:val="00755B4F"/>
    <w:rsid w:val="00755CC7"/>
    <w:rsid w:val="00760996"/>
    <w:rsid w:val="00760E28"/>
    <w:rsid w:val="007615D8"/>
    <w:rsid w:val="007640A5"/>
    <w:rsid w:val="0076416B"/>
    <w:rsid w:val="007642B1"/>
    <w:rsid w:val="0076467D"/>
    <w:rsid w:val="00765658"/>
    <w:rsid w:val="007657F0"/>
    <w:rsid w:val="00771562"/>
    <w:rsid w:val="00773132"/>
    <w:rsid w:val="00773360"/>
    <w:rsid w:val="00775641"/>
    <w:rsid w:val="00775B85"/>
    <w:rsid w:val="00776F93"/>
    <w:rsid w:val="0077745D"/>
    <w:rsid w:val="00780039"/>
    <w:rsid w:val="00782481"/>
    <w:rsid w:val="00783538"/>
    <w:rsid w:val="007846CB"/>
    <w:rsid w:val="00784884"/>
    <w:rsid w:val="00787D9A"/>
    <w:rsid w:val="007904ED"/>
    <w:rsid w:val="00791B47"/>
    <w:rsid w:val="007927E7"/>
    <w:rsid w:val="00792D61"/>
    <w:rsid w:val="00792D99"/>
    <w:rsid w:val="00793CB7"/>
    <w:rsid w:val="00794E0B"/>
    <w:rsid w:val="00796BAB"/>
    <w:rsid w:val="007A2146"/>
    <w:rsid w:val="007A263F"/>
    <w:rsid w:val="007A4437"/>
    <w:rsid w:val="007A716D"/>
    <w:rsid w:val="007A791E"/>
    <w:rsid w:val="007A7E54"/>
    <w:rsid w:val="007B2049"/>
    <w:rsid w:val="007B268C"/>
    <w:rsid w:val="007B34C7"/>
    <w:rsid w:val="007B4575"/>
    <w:rsid w:val="007B50F9"/>
    <w:rsid w:val="007B5DCC"/>
    <w:rsid w:val="007B7759"/>
    <w:rsid w:val="007B7D2B"/>
    <w:rsid w:val="007C0114"/>
    <w:rsid w:val="007C129C"/>
    <w:rsid w:val="007C14E1"/>
    <w:rsid w:val="007C1511"/>
    <w:rsid w:val="007C333A"/>
    <w:rsid w:val="007C5E2F"/>
    <w:rsid w:val="007C75C5"/>
    <w:rsid w:val="007C7E6F"/>
    <w:rsid w:val="007D07AB"/>
    <w:rsid w:val="007D0E69"/>
    <w:rsid w:val="007D2A8D"/>
    <w:rsid w:val="007D3276"/>
    <w:rsid w:val="007D3690"/>
    <w:rsid w:val="007D39C5"/>
    <w:rsid w:val="007D40E4"/>
    <w:rsid w:val="007D477D"/>
    <w:rsid w:val="007D5735"/>
    <w:rsid w:val="007D7DF3"/>
    <w:rsid w:val="007E019D"/>
    <w:rsid w:val="007E0C06"/>
    <w:rsid w:val="007E10E1"/>
    <w:rsid w:val="007E175C"/>
    <w:rsid w:val="007E2D7E"/>
    <w:rsid w:val="007E35A0"/>
    <w:rsid w:val="007E3B95"/>
    <w:rsid w:val="007E4862"/>
    <w:rsid w:val="007E4D02"/>
    <w:rsid w:val="007E5285"/>
    <w:rsid w:val="007E63E9"/>
    <w:rsid w:val="007E66B3"/>
    <w:rsid w:val="007F03EE"/>
    <w:rsid w:val="007F07C3"/>
    <w:rsid w:val="007F0F4B"/>
    <w:rsid w:val="007F2091"/>
    <w:rsid w:val="007F247E"/>
    <w:rsid w:val="007F24C8"/>
    <w:rsid w:val="007F267E"/>
    <w:rsid w:val="007F3441"/>
    <w:rsid w:val="007F512A"/>
    <w:rsid w:val="007F5A94"/>
    <w:rsid w:val="007F5E35"/>
    <w:rsid w:val="007F5E80"/>
    <w:rsid w:val="007F7189"/>
    <w:rsid w:val="007F7269"/>
    <w:rsid w:val="007F7CDC"/>
    <w:rsid w:val="00800A50"/>
    <w:rsid w:val="00800D51"/>
    <w:rsid w:val="00800FAD"/>
    <w:rsid w:val="0080131C"/>
    <w:rsid w:val="008036B6"/>
    <w:rsid w:val="008071E2"/>
    <w:rsid w:val="00807C28"/>
    <w:rsid w:val="00807C87"/>
    <w:rsid w:val="0081133F"/>
    <w:rsid w:val="008128B6"/>
    <w:rsid w:val="008136DE"/>
    <w:rsid w:val="00815651"/>
    <w:rsid w:val="008170EF"/>
    <w:rsid w:val="00817320"/>
    <w:rsid w:val="00817853"/>
    <w:rsid w:val="00820601"/>
    <w:rsid w:val="00822A73"/>
    <w:rsid w:val="00822DFA"/>
    <w:rsid w:val="00824567"/>
    <w:rsid w:val="00824B38"/>
    <w:rsid w:val="0082502B"/>
    <w:rsid w:val="008269BC"/>
    <w:rsid w:val="00827885"/>
    <w:rsid w:val="008310EC"/>
    <w:rsid w:val="0083185D"/>
    <w:rsid w:val="008327A9"/>
    <w:rsid w:val="00832995"/>
    <w:rsid w:val="0083364B"/>
    <w:rsid w:val="008336ED"/>
    <w:rsid w:val="008359FD"/>
    <w:rsid w:val="00835B65"/>
    <w:rsid w:val="00836288"/>
    <w:rsid w:val="008374A9"/>
    <w:rsid w:val="00837984"/>
    <w:rsid w:val="0084073C"/>
    <w:rsid w:val="00840F55"/>
    <w:rsid w:val="008410B9"/>
    <w:rsid w:val="00841796"/>
    <w:rsid w:val="008420FC"/>
    <w:rsid w:val="00843DD5"/>
    <w:rsid w:val="0084425C"/>
    <w:rsid w:val="008450FF"/>
    <w:rsid w:val="00845B5B"/>
    <w:rsid w:val="00847B3E"/>
    <w:rsid w:val="00851A1C"/>
    <w:rsid w:val="00852D57"/>
    <w:rsid w:val="00853C7A"/>
    <w:rsid w:val="00853F8D"/>
    <w:rsid w:val="00854013"/>
    <w:rsid w:val="00860B42"/>
    <w:rsid w:val="00860CBD"/>
    <w:rsid w:val="00861320"/>
    <w:rsid w:val="00861F4A"/>
    <w:rsid w:val="00862ED6"/>
    <w:rsid w:val="008639A3"/>
    <w:rsid w:val="00863BAD"/>
    <w:rsid w:val="00863DFC"/>
    <w:rsid w:val="00864182"/>
    <w:rsid w:val="00864CDB"/>
    <w:rsid w:val="00865F0A"/>
    <w:rsid w:val="0086635B"/>
    <w:rsid w:val="00866A0F"/>
    <w:rsid w:val="00871C14"/>
    <w:rsid w:val="00873742"/>
    <w:rsid w:val="00873F3F"/>
    <w:rsid w:val="008740C3"/>
    <w:rsid w:val="008758B6"/>
    <w:rsid w:val="00875C2E"/>
    <w:rsid w:val="00877C59"/>
    <w:rsid w:val="008823F6"/>
    <w:rsid w:val="00883833"/>
    <w:rsid w:val="00883DB0"/>
    <w:rsid w:val="00883E1A"/>
    <w:rsid w:val="0088451A"/>
    <w:rsid w:val="0088562F"/>
    <w:rsid w:val="00885ED4"/>
    <w:rsid w:val="00886731"/>
    <w:rsid w:val="00886B83"/>
    <w:rsid w:val="00886F00"/>
    <w:rsid w:val="00887125"/>
    <w:rsid w:val="008916B2"/>
    <w:rsid w:val="0089191D"/>
    <w:rsid w:val="00892FC7"/>
    <w:rsid w:val="0089337E"/>
    <w:rsid w:val="00893EAC"/>
    <w:rsid w:val="008973D0"/>
    <w:rsid w:val="00897446"/>
    <w:rsid w:val="00897B1B"/>
    <w:rsid w:val="00897CEC"/>
    <w:rsid w:val="00897F34"/>
    <w:rsid w:val="008A24C5"/>
    <w:rsid w:val="008A2B28"/>
    <w:rsid w:val="008A2B56"/>
    <w:rsid w:val="008A3148"/>
    <w:rsid w:val="008A35F2"/>
    <w:rsid w:val="008A4535"/>
    <w:rsid w:val="008A4983"/>
    <w:rsid w:val="008A529F"/>
    <w:rsid w:val="008A5445"/>
    <w:rsid w:val="008A5A5F"/>
    <w:rsid w:val="008A7022"/>
    <w:rsid w:val="008A7970"/>
    <w:rsid w:val="008A7BB6"/>
    <w:rsid w:val="008B2519"/>
    <w:rsid w:val="008B427F"/>
    <w:rsid w:val="008B503F"/>
    <w:rsid w:val="008B5C08"/>
    <w:rsid w:val="008B6462"/>
    <w:rsid w:val="008C1425"/>
    <w:rsid w:val="008C1B00"/>
    <w:rsid w:val="008C1BD8"/>
    <w:rsid w:val="008C1D01"/>
    <w:rsid w:val="008C23E6"/>
    <w:rsid w:val="008C3917"/>
    <w:rsid w:val="008C41E3"/>
    <w:rsid w:val="008C490D"/>
    <w:rsid w:val="008C4DED"/>
    <w:rsid w:val="008C5B5C"/>
    <w:rsid w:val="008C5DC8"/>
    <w:rsid w:val="008C61CD"/>
    <w:rsid w:val="008C6B6B"/>
    <w:rsid w:val="008C731D"/>
    <w:rsid w:val="008D0339"/>
    <w:rsid w:val="008D0931"/>
    <w:rsid w:val="008D0B99"/>
    <w:rsid w:val="008D1419"/>
    <w:rsid w:val="008D2915"/>
    <w:rsid w:val="008D4877"/>
    <w:rsid w:val="008D5C8C"/>
    <w:rsid w:val="008D5C9B"/>
    <w:rsid w:val="008D62E0"/>
    <w:rsid w:val="008D6941"/>
    <w:rsid w:val="008D6D5E"/>
    <w:rsid w:val="008D6DB0"/>
    <w:rsid w:val="008D6DD5"/>
    <w:rsid w:val="008D7294"/>
    <w:rsid w:val="008E0145"/>
    <w:rsid w:val="008E046E"/>
    <w:rsid w:val="008E0788"/>
    <w:rsid w:val="008E0C46"/>
    <w:rsid w:val="008E1A91"/>
    <w:rsid w:val="008E4008"/>
    <w:rsid w:val="008E58FF"/>
    <w:rsid w:val="008E6E3A"/>
    <w:rsid w:val="008E7A8B"/>
    <w:rsid w:val="008F0C16"/>
    <w:rsid w:val="008F3551"/>
    <w:rsid w:val="008F38BE"/>
    <w:rsid w:val="008F3EFF"/>
    <w:rsid w:val="008F3F10"/>
    <w:rsid w:val="008F5581"/>
    <w:rsid w:val="008F5E18"/>
    <w:rsid w:val="008F63A0"/>
    <w:rsid w:val="008F6526"/>
    <w:rsid w:val="008F6BF0"/>
    <w:rsid w:val="008F70E3"/>
    <w:rsid w:val="008F73A6"/>
    <w:rsid w:val="00900ACC"/>
    <w:rsid w:val="009019B6"/>
    <w:rsid w:val="009019DC"/>
    <w:rsid w:val="00903C06"/>
    <w:rsid w:val="00904297"/>
    <w:rsid w:val="0090493F"/>
    <w:rsid w:val="009051FF"/>
    <w:rsid w:val="00905AC2"/>
    <w:rsid w:val="00912EA8"/>
    <w:rsid w:val="00913D5B"/>
    <w:rsid w:val="009150A1"/>
    <w:rsid w:val="0091535B"/>
    <w:rsid w:val="00915762"/>
    <w:rsid w:val="00916082"/>
    <w:rsid w:val="0092045B"/>
    <w:rsid w:val="00920C5F"/>
    <w:rsid w:val="00923EBB"/>
    <w:rsid w:val="0092400A"/>
    <w:rsid w:val="00924958"/>
    <w:rsid w:val="00925239"/>
    <w:rsid w:val="0092570C"/>
    <w:rsid w:val="00930CED"/>
    <w:rsid w:val="00932148"/>
    <w:rsid w:val="00932BC1"/>
    <w:rsid w:val="00933440"/>
    <w:rsid w:val="00934200"/>
    <w:rsid w:val="00935863"/>
    <w:rsid w:val="009363ED"/>
    <w:rsid w:val="00937546"/>
    <w:rsid w:val="0093756B"/>
    <w:rsid w:val="0094151D"/>
    <w:rsid w:val="009417E6"/>
    <w:rsid w:val="009418E0"/>
    <w:rsid w:val="00943236"/>
    <w:rsid w:val="0094335B"/>
    <w:rsid w:val="00944A62"/>
    <w:rsid w:val="00944B88"/>
    <w:rsid w:val="0094581F"/>
    <w:rsid w:val="00946FF7"/>
    <w:rsid w:val="0094794D"/>
    <w:rsid w:val="00947AEF"/>
    <w:rsid w:val="00947B8D"/>
    <w:rsid w:val="009500C4"/>
    <w:rsid w:val="00950DD9"/>
    <w:rsid w:val="00951D50"/>
    <w:rsid w:val="00953F99"/>
    <w:rsid w:val="0095449B"/>
    <w:rsid w:val="00954EF1"/>
    <w:rsid w:val="00956277"/>
    <w:rsid w:val="009564F4"/>
    <w:rsid w:val="00956D51"/>
    <w:rsid w:val="009602D5"/>
    <w:rsid w:val="009616A8"/>
    <w:rsid w:val="009616CA"/>
    <w:rsid w:val="00961B65"/>
    <w:rsid w:val="00961D07"/>
    <w:rsid w:val="009635E6"/>
    <w:rsid w:val="009636B0"/>
    <w:rsid w:val="00964EEC"/>
    <w:rsid w:val="00965360"/>
    <w:rsid w:val="009654F6"/>
    <w:rsid w:val="009663E4"/>
    <w:rsid w:val="00966AA8"/>
    <w:rsid w:val="00967FFB"/>
    <w:rsid w:val="00970279"/>
    <w:rsid w:val="009716E5"/>
    <w:rsid w:val="00972735"/>
    <w:rsid w:val="00972E45"/>
    <w:rsid w:val="009739B0"/>
    <w:rsid w:val="009741C1"/>
    <w:rsid w:val="0097471C"/>
    <w:rsid w:val="00975C81"/>
    <w:rsid w:val="00975D22"/>
    <w:rsid w:val="00980127"/>
    <w:rsid w:val="00980262"/>
    <w:rsid w:val="00980ADA"/>
    <w:rsid w:val="00980F7E"/>
    <w:rsid w:val="009810E4"/>
    <w:rsid w:val="00981419"/>
    <w:rsid w:val="0098221B"/>
    <w:rsid w:val="009824F4"/>
    <w:rsid w:val="00982E54"/>
    <w:rsid w:val="00983EB8"/>
    <w:rsid w:val="00984EAE"/>
    <w:rsid w:val="00985119"/>
    <w:rsid w:val="0098591B"/>
    <w:rsid w:val="00986C7E"/>
    <w:rsid w:val="00990303"/>
    <w:rsid w:val="009905AA"/>
    <w:rsid w:val="0099086F"/>
    <w:rsid w:val="00990C53"/>
    <w:rsid w:val="00990FC6"/>
    <w:rsid w:val="0099165E"/>
    <w:rsid w:val="009923F5"/>
    <w:rsid w:val="00992AF0"/>
    <w:rsid w:val="00993022"/>
    <w:rsid w:val="00993334"/>
    <w:rsid w:val="009936F1"/>
    <w:rsid w:val="00993EB7"/>
    <w:rsid w:val="0099409A"/>
    <w:rsid w:val="009946C7"/>
    <w:rsid w:val="00994F15"/>
    <w:rsid w:val="00995911"/>
    <w:rsid w:val="00995D84"/>
    <w:rsid w:val="00995DD9"/>
    <w:rsid w:val="009969F7"/>
    <w:rsid w:val="00996E2E"/>
    <w:rsid w:val="0099708E"/>
    <w:rsid w:val="00997558"/>
    <w:rsid w:val="009A24C2"/>
    <w:rsid w:val="009A28E8"/>
    <w:rsid w:val="009A2933"/>
    <w:rsid w:val="009A2D49"/>
    <w:rsid w:val="009A3141"/>
    <w:rsid w:val="009A4680"/>
    <w:rsid w:val="009A5275"/>
    <w:rsid w:val="009B0BEE"/>
    <w:rsid w:val="009B51EE"/>
    <w:rsid w:val="009B5A5E"/>
    <w:rsid w:val="009B5BE2"/>
    <w:rsid w:val="009B5E20"/>
    <w:rsid w:val="009B7F99"/>
    <w:rsid w:val="009C0182"/>
    <w:rsid w:val="009C113C"/>
    <w:rsid w:val="009C1313"/>
    <w:rsid w:val="009C21D1"/>
    <w:rsid w:val="009C3839"/>
    <w:rsid w:val="009C4539"/>
    <w:rsid w:val="009C4821"/>
    <w:rsid w:val="009C5242"/>
    <w:rsid w:val="009C681D"/>
    <w:rsid w:val="009C69E0"/>
    <w:rsid w:val="009C6AB9"/>
    <w:rsid w:val="009C6EA3"/>
    <w:rsid w:val="009D0CF7"/>
    <w:rsid w:val="009D103A"/>
    <w:rsid w:val="009D1F71"/>
    <w:rsid w:val="009D2DCC"/>
    <w:rsid w:val="009D3480"/>
    <w:rsid w:val="009D43AC"/>
    <w:rsid w:val="009D484E"/>
    <w:rsid w:val="009D52E6"/>
    <w:rsid w:val="009D57C3"/>
    <w:rsid w:val="009D5866"/>
    <w:rsid w:val="009D6BC3"/>
    <w:rsid w:val="009D76C6"/>
    <w:rsid w:val="009D7F74"/>
    <w:rsid w:val="009E0710"/>
    <w:rsid w:val="009E0906"/>
    <w:rsid w:val="009E179E"/>
    <w:rsid w:val="009E236A"/>
    <w:rsid w:val="009E39AE"/>
    <w:rsid w:val="009E39E4"/>
    <w:rsid w:val="009E4F49"/>
    <w:rsid w:val="009E536B"/>
    <w:rsid w:val="009F0AA2"/>
    <w:rsid w:val="009F1ABB"/>
    <w:rsid w:val="009F2FE9"/>
    <w:rsid w:val="009F62D8"/>
    <w:rsid w:val="009F7BDC"/>
    <w:rsid w:val="00A00169"/>
    <w:rsid w:val="00A00332"/>
    <w:rsid w:val="00A003EB"/>
    <w:rsid w:val="00A00FAF"/>
    <w:rsid w:val="00A01134"/>
    <w:rsid w:val="00A01C73"/>
    <w:rsid w:val="00A02153"/>
    <w:rsid w:val="00A0323E"/>
    <w:rsid w:val="00A05355"/>
    <w:rsid w:val="00A055B3"/>
    <w:rsid w:val="00A067A0"/>
    <w:rsid w:val="00A06A73"/>
    <w:rsid w:val="00A070FA"/>
    <w:rsid w:val="00A078C9"/>
    <w:rsid w:val="00A10E9A"/>
    <w:rsid w:val="00A115F2"/>
    <w:rsid w:val="00A11768"/>
    <w:rsid w:val="00A12626"/>
    <w:rsid w:val="00A12A46"/>
    <w:rsid w:val="00A13D6F"/>
    <w:rsid w:val="00A148E1"/>
    <w:rsid w:val="00A16178"/>
    <w:rsid w:val="00A165D6"/>
    <w:rsid w:val="00A16CBB"/>
    <w:rsid w:val="00A171BC"/>
    <w:rsid w:val="00A17A63"/>
    <w:rsid w:val="00A17DEC"/>
    <w:rsid w:val="00A245C6"/>
    <w:rsid w:val="00A249B8"/>
    <w:rsid w:val="00A24BC0"/>
    <w:rsid w:val="00A25EE4"/>
    <w:rsid w:val="00A26F20"/>
    <w:rsid w:val="00A27B58"/>
    <w:rsid w:val="00A30F44"/>
    <w:rsid w:val="00A31F5E"/>
    <w:rsid w:val="00A31FC3"/>
    <w:rsid w:val="00A32FDB"/>
    <w:rsid w:val="00A33D42"/>
    <w:rsid w:val="00A34B6A"/>
    <w:rsid w:val="00A35032"/>
    <w:rsid w:val="00A3512D"/>
    <w:rsid w:val="00A355BD"/>
    <w:rsid w:val="00A35E82"/>
    <w:rsid w:val="00A362D5"/>
    <w:rsid w:val="00A36457"/>
    <w:rsid w:val="00A36FC7"/>
    <w:rsid w:val="00A37E97"/>
    <w:rsid w:val="00A411C8"/>
    <w:rsid w:val="00A42362"/>
    <w:rsid w:val="00A42415"/>
    <w:rsid w:val="00A4324D"/>
    <w:rsid w:val="00A442C7"/>
    <w:rsid w:val="00A45287"/>
    <w:rsid w:val="00A45560"/>
    <w:rsid w:val="00A500C0"/>
    <w:rsid w:val="00A53A6D"/>
    <w:rsid w:val="00A609D7"/>
    <w:rsid w:val="00A6219D"/>
    <w:rsid w:val="00A62319"/>
    <w:rsid w:val="00A6243D"/>
    <w:rsid w:val="00A62B08"/>
    <w:rsid w:val="00A63447"/>
    <w:rsid w:val="00A63B6C"/>
    <w:rsid w:val="00A63BBC"/>
    <w:rsid w:val="00A64349"/>
    <w:rsid w:val="00A667B5"/>
    <w:rsid w:val="00A67575"/>
    <w:rsid w:val="00A67E89"/>
    <w:rsid w:val="00A716F4"/>
    <w:rsid w:val="00A73214"/>
    <w:rsid w:val="00A73890"/>
    <w:rsid w:val="00A7395A"/>
    <w:rsid w:val="00A759F5"/>
    <w:rsid w:val="00A75A43"/>
    <w:rsid w:val="00A76117"/>
    <w:rsid w:val="00A7617F"/>
    <w:rsid w:val="00A767B9"/>
    <w:rsid w:val="00A77E1A"/>
    <w:rsid w:val="00A810E8"/>
    <w:rsid w:val="00A81944"/>
    <w:rsid w:val="00A819D1"/>
    <w:rsid w:val="00A842D1"/>
    <w:rsid w:val="00A849E8"/>
    <w:rsid w:val="00A8646E"/>
    <w:rsid w:val="00A87A3B"/>
    <w:rsid w:val="00A87F1A"/>
    <w:rsid w:val="00A90665"/>
    <w:rsid w:val="00A91D88"/>
    <w:rsid w:val="00A9208E"/>
    <w:rsid w:val="00A925DB"/>
    <w:rsid w:val="00A93772"/>
    <w:rsid w:val="00A93B9A"/>
    <w:rsid w:val="00A93F88"/>
    <w:rsid w:val="00A953D4"/>
    <w:rsid w:val="00A9601C"/>
    <w:rsid w:val="00A96D91"/>
    <w:rsid w:val="00A96E8C"/>
    <w:rsid w:val="00A96FF1"/>
    <w:rsid w:val="00AA07F6"/>
    <w:rsid w:val="00AA2C53"/>
    <w:rsid w:val="00AA5071"/>
    <w:rsid w:val="00AA69FD"/>
    <w:rsid w:val="00AA7E8A"/>
    <w:rsid w:val="00AB24AF"/>
    <w:rsid w:val="00AB33F3"/>
    <w:rsid w:val="00AB6182"/>
    <w:rsid w:val="00AB6D09"/>
    <w:rsid w:val="00AC017B"/>
    <w:rsid w:val="00AC08F9"/>
    <w:rsid w:val="00AC0FB3"/>
    <w:rsid w:val="00AC3421"/>
    <w:rsid w:val="00AC3D5D"/>
    <w:rsid w:val="00AC4FC0"/>
    <w:rsid w:val="00AC544B"/>
    <w:rsid w:val="00AC585C"/>
    <w:rsid w:val="00AC58E3"/>
    <w:rsid w:val="00AD0D86"/>
    <w:rsid w:val="00AD14E6"/>
    <w:rsid w:val="00AD1E4B"/>
    <w:rsid w:val="00AD2E17"/>
    <w:rsid w:val="00AD5604"/>
    <w:rsid w:val="00AD76B6"/>
    <w:rsid w:val="00AE21AC"/>
    <w:rsid w:val="00AE343D"/>
    <w:rsid w:val="00AE3484"/>
    <w:rsid w:val="00AE6A3C"/>
    <w:rsid w:val="00AE7E67"/>
    <w:rsid w:val="00AF2106"/>
    <w:rsid w:val="00AF27A6"/>
    <w:rsid w:val="00AF3BE0"/>
    <w:rsid w:val="00AF3E74"/>
    <w:rsid w:val="00AF5842"/>
    <w:rsid w:val="00AF64AB"/>
    <w:rsid w:val="00B0311F"/>
    <w:rsid w:val="00B03B91"/>
    <w:rsid w:val="00B0595F"/>
    <w:rsid w:val="00B05F5A"/>
    <w:rsid w:val="00B06079"/>
    <w:rsid w:val="00B06540"/>
    <w:rsid w:val="00B0677B"/>
    <w:rsid w:val="00B06AB0"/>
    <w:rsid w:val="00B06D07"/>
    <w:rsid w:val="00B07511"/>
    <w:rsid w:val="00B103D1"/>
    <w:rsid w:val="00B105AB"/>
    <w:rsid w:val="00B11122"/>
    <w:rsid w:val="00B1238D"/>
    <w:rsid w:val="00B12610"/>
    <w:rsid w:val="00B12EAA"/>
    <w:rsid w:val="00B13784"/>
    <w:rsid w:val="00B13EDF"/>
    <w:rsid w:val="00B1409D"/>
    <w:rsid w:val="00B15583"/>
    <w:rsid w:val="00B17D4F"/>
    <w:rsid w:val="00B21CAD"/>
    <w:rsid w:val="00B2612B"/>
    <w:rsid w:val="00B26BA9"/>
    <w:rsid w:val="00B3001D"/>
    <w:rsid w:val="00B30DE5"/>
    <w:rsid w:val="00B3140F"/>
    <w:rsid w:val="00B316B7"/>
    <w:rsid w:val="00B33579"/>
    <w:rsid w:val="00B33918"/>
    <w:rsid w:val="00B36BCA"/>
    <w:rsid w:val="00B37A70"/>
    <w:rsid w:val="00B37AAA"/>
    <w:rsid w:val="00B37F9A"/>
    <w:rsid w:val="00B408D5"/>
    <w:rsid w:val="00B4235A"/>
    <w:rsid w:val="00B4299F"/>
    <w:rsid w:val="00B429B3"/>
    <w:rsid w:val="00B42B32"/>
    <w:rsid w:val="00B42F4C"/>
    <w:rsid w:val="00B44C45"/>
    <w:rsid w:val="00B46949"/>
    <w:rsid w:val="00B46972"/>
    <w:rsid w:val="00B50B77"/>
    <w:rsid w:val="00B51303"/>
    <w:rsid w:val="00B52A86"/>
    <w:rsid w:val="00B52F14"/>
    <w:rsid w:val="00B53D3A"/>
    <w:rsid w:val="00B54EC4"/>
    <w:rsid w:val="00B54FA9"/>
    <w:rsid w:val="00B5556D"/>
    <w:rsid w:val="00B56F22"/>
    <w:rsid w:val="00B5737F"/>
    <w:rsid w:val="00B57D05"/>
    <w:rsid w:val="00B608E8"/>
    <w:rsid w:val="00B63048"/>
    <w:rsid w:val="00B63889"/>
    <w:rsid w:val="00B63CA9"/>
    <w:rsid w:val="00B64455"/>
    <w:rsid w:val="00B64763"/>
    <w:rsid w:val="00B64E17"/>
    <w:rsid w:val="00B66F12"/>
    <w:rsid w:val="00B71043"/>
    <w:rsid w:val="00B7140B"/>
    <w:rsid w:val="00B71A8A"/>
    <w:rsid w:val="00B72384"/>
    <w:rsid w:val="00B751C5"/>
    <w:rsid w:val="00B76E45"/>
    <w:rsid w:val="00B77D01"/>
    <w:rsid w:val="00B77F1E"/>
    <w:rsid w:val="00B81331"/>
    <w:rsid w:val="00B81705"/>
    <w:rsid w:val="00B81E30"/>
    <w:rsid w:val="00B81F27"/>
    <w:rsid w:val="00B820DE"/>
    <w:rsid w:val="00B82C3F"/>
    <w:rsid w:val="00B82D59"/>
    <w:rsid w:val="00B8347B"/>
    <w:rsid w:val="00B854A5"/>
    <w:rsid w:val="00B85C66"/>
    <w:rsid w:val="00B86C32"/>
    <w:rsid w:val="00B87138"/>
    <w:rsid w:val="00B87149"/>
    <w:rsid w:val="00B87C2A"/>
    <w:rsid w:val="00B9085B"/>
    <w:rsid w:val="00B91D2B"/>
    <w:rsid w:val="00B92957"/>
    <w:rsid w:val="00B9509E"/>
    <w:rsid w:val="00B974CE"/>
    <w:rsid w:val="00BA138F"/>
    <w:rsid w:val="00BA2671"/>
    <w:rsid w:val="00BA27E9"/>
    <w:rsid w:val="00BA2922"/>
    <w:rsid w:val="00BA58E9"/>
    <w:rsid w:val="00BA591C"/>
    <w:rsid w:val="00BA6E9A"/>
    <w:rsid w:val="00BB027B"/>
    <w:rsid w:val="00BB1EC1"/>
    <w:rsid w:val="00BB364A"/>
    <w:rsid w:val="00BB3690"/>
    <w:rsid w:val="00BB372A"/>
    <w:rsid w:val="00BB394B"/>
    <w:rsid w:val="00BB3F37"/>
    <w:rsid w:val="00BB5089"/>
    <w:rsid w:val="00BB5925"/>
    <w:rsid w:val="00BC276A"/>
    <w:rsid w:val="00BC475E"/>
    <w:rsid w:val="00BC47EF"/>
    <w:rsid w:val="00BC56B6"/>
    <w:rsid w:val="00BC6619"/>
    <w:rsid w:val="00BD3D46"/>
    <w:rsid w:val="00BD6587"/>
    <w:rsid w:val="00BD7670"/>
    <w:rsid w:val="00BD7E6B"/>
    <w:rsid w:val="00BD7EE4"/>
    <w:rsid w:val="00BE348D"/>
    <w:rsid w:val="00BE34DC"/>
    <w:rsid w:val="00BE3598"/>
    <w:rsid w:val="00BE3DDD"/>
    <w:rsid w:val="00BE4214"/>
    <w:rsid w:val="00BE4BE4"/>
    <w:rsid w:val="00BE6A79"/>
    <w:rsid w:val="00BE76C9"/>
    <w:rsid w:val="00BE7D3F"/>
    <w:rsid w:val="00BF04DF"/>
    <w:rsid w:val="00BF0B56"/>
    <w:rsid w:val="00BF1D19"/>
    <w:rsid w:val="00BF3674"/>
    <w:rsid w:val="00BF450E"/>
    <w:rsid w:val="00BF5150"/>
    <w:rsid w:val="00BF6C04"/>
    <w:rsid w:val="00BF7A87"/>
    <w:rsid w:val="00C020DD"/>
    <w:rsid w:val="00C02200"/>
    <w:rsid w:val="00C034C7"/>
    <w:rsid w:val="00C03772"/>
    <w:rsid w:val="00C04DF0"/>
    <w:rsid w:val="00C04F17"/>
    <w:rsid w:val="00C070BE"/>
    <w:rsid w:val="00C070D0"/>
    <w:rsid w:val="00C07882"/>
    <w:rsid w:val="00C1031D"/>
    <w:rsid w:val="00C12F0B"/>
    <w:rsid w:val="00C13D7F"/>
    <w:rsid w:val="00C1572B"/>
    <w:rsid w:val="00C157F0"/>
    <w:rsid w:val="00C2096E"/>
    <w:rsid w:val="00C215F7"/>
    <w:rsid w:val="00C21D6D"/>
    <w:rsid w:val="00C22427"/>
    <w:rsid w:val="00C2410B"/>
    <w:rsid w:val="00C25004"/>
    <w:rsid w:val="00C25EA9"/>
    <w:rsid w:val="00C27054"/>
    <w:rsid w:val="00C279E8"/>
    <w:rsid w:val="00C30B7C"/>
    <w:rsid w:val="00C31032"/>
    <w:rsid w:val="00C315C0"/>
    <w:rsid w:val="00C31A8D"/>
    <w:rsid w:val="00C338AD"/>
    <w:rsid w:val="00C3433A"/>
    <w:rsid w:val="00C344D4"/>
    <w:rsid w:val="00C3500A"/>
    <w:rsid w:val="00C370BF"/>
    <w:rsid w:val="00C375CE"/>
    <w:rsid w:val="00C4046B"/>
    <w:rsid w:val="00C404DB"/>
    <w:rsid w:val="00C40E00"/>
    <w:rsid w:val="00C41846"/>
    <w:rsid w:val="00C42D69"/>
    <w:rsid w:val="00C438AE"/>
    <w:rsid w:val="00C454C2"/>
    <w:rsid w:val="00C46E2A"/>
    <w:rsid w:val="00C47620"/>
    <w:rsid w:val="00C4769A"/>
    <w:rsid w:val="00C47A03"/>
    <w:rsid w:val="00C47B39"/>
    <w:rsid w:val="00C50FDC"/>
    <w:rsid w:val="00C5409A"/>
    <w:rsid w:val="00C545C6"/>
    <w:rsid w:val="00C55308"/>
    <w:rsid w:val="00C55BBB"/>
    <w:rsid w:val="00C5692E"/>
    <w:rsid w:val="00C60012"/>
    <w:rsid w:val="00C61E36"/>
    <w:rsid w:val="00C629D7"/>
    <w:rsid w:val="00C62A04"/>
    <w:rsid w:val="00C63D24"/>
    <w:rsid w:val="00C6592C"/>
    <w:rsid w:val="00C65CDD"/>
    <w:rsid w:val="00C65CF4"/>
    <w:rsid w:val="00C65DFA"/>
    <w:rsid w:val="00C662F1"/>
    <w:rsid w:val="00C66DDA"/>
    <w:rsid w:val="00C709C4"/>
    <w:rsid w:val="00C717F0"/>
    <w:rsid w:val="00C722A0"/>
    <w:rsid w:val="00C72592"/>
    <w:rsid w:val="00C72E32"/>
    <w:rsid w:val="00C735A0"/>
    <w:rsid w:val="00C73664"/>
    <w:rsid w:val="00C73CA1"/>
    <w:rsid w:val="00C747E5"/>
    <w:rsid w:val="00C7566F"/>
    <w:rsid w:val="00C75760"/>
    <w:rsid w:val="00C75C69"/>
    <w:rsid w:val="00C7623B"/>
    <w:rsid w:val="00C776E7"/>
    <w:rsid w:val="00C77F1C"/>
    <w:rsid w:val="00C80905"/>
    <w:rsid w:val="00C850CE"/>
    <w:rsid w:val="00C8607C"/>
    <w:rsid w:val="00C87702"/>
    <w:rsid w:val="00C87A02"/>
    <w:rsid w:val="00C87EB2"/>
    <w:rsid w:val="00C909A0"/>
    <w:rsid w:val="00C91D5F"/>
    <w:rsid w:val="00C93994"/>
    <w:rsid w:val="00C9483C"/>
    <w:rsid w:val="00C94A63"/>
    <w:rsid w:val="00C94B61"/>
    <w:rsid w:val="00C94EAC"/>
    <w:rsid w:val="00C95703"/>
    <w:rsid w:val="00C95865"/>
    <w:rsid w:val="00C95FB6"/>
    <w:rsid w:val="00C96A33"/>
    <w:rsid w:val="00C97F5B"/>
    <w:rsid w:val="00CA4214"/>
    <w:rsid w:val="00CA4B5B"/>
    <w:rsid w:val="00CA57A2"/>
    <w:rsid w:val="00CA5C9F"/>
    <w:rsid w:val="00CA712E"/>
    <w:rsid w:val="00CA71E3"/>
    <w:rsid w:val="00CA7DB4"/>
    <w:rsid w:val="00CB02FE"/>
    <w:rsid w:val="00CB04C2"/>
    <w:rsid w:val="00CB0A06"/>
    <w:rsid w:val="00CB1ABA"/>
    <w:rsid w:val="00CB2831"/>
    <w:rsid w:val="00CB2C5E"/>
    <w:rsid w:val="00CB401D"/>
    <w:rsid w:val="00CB5069"/>
    <w:rsid w:val="00CB5B7A"/>
    <w:rsid w:val="00CB5E40"/>
    <w:rsid w:val="00CB6157"/>
    <w:rsid w:val="00CB706C"/>
    <w:rsid w:val="00CB78B3"/>
    <w:rsid w:val="00CC1291"/>
    <w:rsid w:val="00CC3A22"/>
    <w:rsid w:val="00CC3DAF"/>
    <w:rsid w:val="00CC3EEF"/>
    <w:rsid w:val="00CC5663"/>
    <w:rsid w:val="00CC66CE"/>
    <w:rsid w:val="00CC6F34"/>
    <w:rsid w:val="00CC72A5"/>
    <w:rsid w:val="00CC72E6"/>
    <w:rsid w:val="00CC7A51"/>
    <w:rsid w:val="00CC7F4C"/>
    <w:rsid w:val="00CD01D3"/>
    <w:rsid w:val="00CD0471"/>
    <w:rsid w:val="00CD05CC"/>
    <w:rsid w:val="00CD0613"/>
    <w:rsid w:val="00CD2056"/>
    <w:rsid w:val="00CD3518"/>
    <w:rsid w:val="00CD3977"/>
    <w:rsid w:val="00CD550C"/>
    <w:rsid w:val="00CD5582"/>
    <w:rsid w:val="00CD6049"/>
    <w:rsid w:val="00CE08A6"/>
    <w:rsid w:val="00CE50AE"/>
    <w:rsid w:val="00CE6836"/>
    <w:rsid w:val="00CE765C"/>
    <w:rsid w:val="00CE7A71"/>
    <w:rsid w:val="00CE7D2A"/>
    <w:rsid w:val="00CF0186"/>
    <w:rsid w:val="00CF16B7"/>
    <w:rsid w:val="00CF1ED8"/>
    <w:rsid w:val="00CF4391"/>
    <w:rsid w:val="00CF4CF2"/>
    <w:rsid w:val="00CF6CC2"/>
    <w:rsid w:val="00CF7199"/>
    <w:rsid w:val="00D006D8"/>
    <w:rsid w:val="00D01D52"/>
    <w:rsid w:val="00D02C07"/>
    <w:rsid w:val="00D03B01"/>
    <w:rsid w:val="00D0450E"/>
    <w:rsid w:val="00D0590E"/>
    <w:rsid w:val="00D05FA2"/>
    <w:rsid w:val="00D06403"/>
    <w:rsid w:val="00D076EE"/>
    <w:rsid w:val="00D115CB"/>
    <w:rsid w:val="00D1376D"/>
    <w:rsid w:val="00D142AB"/>
    <w:rsid w:val="00D155CC"/>
    <w:rsid w:val="00D171FC"/>
    <w:rsid w:val="00D20AF1"/>
    <w:rsid w:val="00D2530D"/>
    <w:rsid w:val="00D2678E"/>
    <w:rsid w:val="00D268D4"/>
    <w:rsid w:val="00D26C19"/>
    <w:rsid w:val="00D3065C"/>
    <w:rsid w:val="00D309EA"/>
    <w:rsid w:val="00D30DDE"/>
    <w:rsid w:val="00D31F36"/>
    <w:rsid w:val="00D355A3"/>
    <w:rsid w:val="00D4067F"/>
    <w:rsid w:val="00D41208"/>
    <w:rsid w:val="00D41294"/>
    <w:rsid w:val="00D41531"/>
    <w:rsid w:val="00D43835"/>
    <w:rsid w:val="00D4411E"/>
    <w:rsid w:val="00D44923"/>
    <w:rsid w:val="00D46889"/>
    <w:rsid w:val="00D47856"/>
    <w:rsid w:val="00D479B7"/>
    <w:rsid w:val="00D47B34"/>
    <w:rsid w:val="00D47B5D"/>
    <w:rsid w:val="00D514F5"/>
    <w:rsid w:val="00D5151D"/>
    <w:rsid w:val="00D5157C"/>
    <w:rsid w:val="00D5255B"/>
    <w:rsid w:val="00D52A1D"/>
    <w:rsid w:val="00D530C2"/>
    <w:rsid w:val="00D53E73"/>
    <w:rsid w:val="00D53F2F"/>
    <w:rsid w:val="00D550B6"/>
    <w:rsid w:val="00D57716"/>
    <w:rsid w:val="00D57BB2"/>
    <w:rsid w:val="00D57F01"/>
    <w:rsid w:val="00D60349"/>
    <w:rsid w:val="00D61FE1"/>
    <w:rsid w:val="00D625AD"/>
    <w:rsid w:val="00D62687"/>
    <w:rsid w:val="00D6782D"/>
    <w:rsid w:val="00D70835"/>
    <w:rsid w:val="00D7084A"/>
    <w:rsid w:val="00D71928"/>
    <w:rsid w:val="00D71FBE"/>
    <w:rsid w:val="00D730EE"/>
    <w:rsid w:val="00D73262"/>
    <w:rsid w:val="00D7338F"/>
    <w:rsid w:val="00D7465E"/>
    <w:rsid w:val="00D75B4D"/>
    <w:rsid w:val="00D75BC7"/>
    <w:rsid w:val="00D7692B"/>
    <w:rsid w:val="00D76CE9"/>
    <w:rsid w:val="00D779FA"/>
    <w:rsid w:val="00D77DD8"/>
    <w:rsid w:val="00D80777"/>
    <w:rsid w:val="00D83D2B"/>
    <w:rsid w:val="00D843CB"/>
    <w:rsid w:val="00D8453E"/>
    <w:rsid w:val="00D84CE8"/>
    <w:rsid w:val="00D85A95"/>
    <w:rsid w:val="00D86173"/>
    <w:rsid w:val="00D9248F"/>
    <w:rsid w:val="00D92A09"/>
    <w:rsid w:val="00D93FC4"/>
    <w:rsid w:val="00D9621E"/>
    <w:rsid w:val="00D97124"/>
    <w:rsid w:val="00D97BCA"/>
    <w:rsid w:val="00D97E29"/>
    <w:rsid w:val="00DA17DB"/>
    <w:rsid w:val="00DA37C9"/>
    <w:rsid w:val="00DA3C50"/>
    <w:rsid w:val="00DA5746"/>
    <w:rsid w:val="00DB22BC"/>
    <w:rsid w:val="00DB30B0"/>
    <w:rsid w:val="00DB39F2"/>
    <w:rsid w:val="00DB4A32"/>
    <w:rsid w:val="00DB4BDA"/>
    <w:rsid w:val="00DB6BDC"/>
    <w:rsid w:val="00DC036D"/>
    <w:rsid w:val="00DC1E32"/>
    <w:rsid w:val="00DC3E1E"/>
    <w:rsid w:val="00DC3F28"/>
    <w:rsid w:val="00DC597C"/>
    <w:rsid w:val="00DC6B65"/>
    <w:rsid w:val="00DD0E7A"/>
    <w:rsid w:val="00DD2420"/>
    <w:rsid w:val="00DD3460"/>
    <w:rsid w:val="00DD4C02"/>
    <w:rsid w:val="00DD52FC"/>
    <w:rsid w:val="00DD7C4F"/>
    <w:rsid w:val="00DE0888"/>
    <w:rsid w:val="00DE1DA2"/>
    <w:rsid w:val="00DE2516"/>
    <w:rsid w:val="00DE2C40"/>
    <w:rsid w:val="00DE33C5"/>
    <w:rsid w:val="00DE395C"/>
    <w:rsid w:val="00DE39A4"/>
    <w:rsid w:val="00DE3DC0"/>
    <w:rsid w:val="00DE48B8"/>
    <w:rsid w:val="00DE4E8E"/>
    <w:rsid w:val="00DE572A"/>
    <w:rsid w:val="00DE7AED"/>
    <w:rsid w:val="00DF0BBF"/>
    <w:rsid w:val="00DF1163"/>
    <w:rsid w:val="00DF1662"/>
    <w:rsid w:val="00DF17EC"/>
    <w:rsid w:val="00DF2C63"/>
    <w:rsid w:val="00DF37AB"/>
    <w:rsid w:val="00DF3F4D"/>
    <w:rsid w:val="00DF41BE"/>
    <w:rsid w:val="00DF600F"/>
    <w:rsid w:val="00DF7628"/>
    <w:rsid w:val="00E0015F"/>
    <w:rsid w:val="00E00474"/>
    <w:rsid w:val="00E00CC9"/>
    <w:rsid w:val="00E02B3F"/>
    <w:rsid w:val="00E04F9A"/>
    <w:rsid w:val="00E07D69"/>
    <w:rsid w:val="00E07E05"/>
    <w:rsid w:val="00E10A41"/>
    <w:rsid w:val="00E117F0"/>
    <w:rsid w:val="00E11C25"/>
    <w:rsid w:val="00E11C27"/>
    <w:rsid w:val="00E12A0C"/>
    <w:rsid w:val="00E13EA2"/>
    <w:rsid w:val="00E16392"/>
    <w:rsid w:val="00E17479"/>
    <w:rsid w:val="00E207BF"/>
    <w:rsid w:val="00E2196C"/>
    <w:rsid w:val="00E21DD1"/>
    <w:rsid w:val="00E2262C"/>
    <w:rsid w:val="00E23F45"/>
    <w:rsid w:val="00E247C5"/>
    <w:rsid w:val="00E2655A"/>
    <w:rsid w:val="00E26F05"/>
    <w:rsid w:val="00E272A2"/>
    <w:rsid w:val="00E27560"/>
    <w:rsid w:val="00E27CBB"/>
    <w:rsid w:val="00E27CFB"/>
    <w:rsid w:val="00E27F90"/>
    <w:rsid w:val="00E30227"/>
    <w:rsid w:val="00E30D9B"/>
    <w:rsid w:val="00E3172B"/>
    <w:rsid w:val="00E320EF"/>
    <w:rsid w:val="00E32F18"/>
    <w:rsid w:val="00E36745"/>
    <w:rsid w:val="00E402A1"/>
    <w:rsid w:val="00E4087C"/>
    <w:rsid w:val="00E40EB4"/>
    <w:rsid w:val="00E40FD5"/>
    <w:rsid w:val="00E410BA"/>
    <w:rsid w:val="00E411E0"/>
    <w:rsid w:val="00E44C21"/>
    <w:rsid w:val="00E45011"/>
    <w:rsid w:val="00E45E24"/>
    <w:rsid w:val="00E46AED"/>
    <w:rsid w:val="00E517F7"/>
    <w:rsid w:val="00E52D4C"/>
    <w:rsid w:val="00E52D95"/>
    <w:rsid w:val="00E56B2B"/>
    <w:rsid w:val="00E61EA2"/>
    <w:rsid w:val="00E62264"/>
    <w:rsid w:val="00E657C7"/>
    <w:rsid w:val="00E66898"/>
    <w:rsid w:val="00E668FA"/>
    <w:rsid w:val="00E70995"/>
    <w:rsid w:val="00E70F2F"/>
    <w:rsid w:val="00E71176"/>
    <w:rsid w:val="00E71AF8"/>
    <w:rsid w:val="00E71D01"/>
    <w:rsid w:val="00E74265"/>
    <w:rsid w:val="00E75197"/>
    <w:rsid w:val="00E7589A"/>
    <w:rsid w:val="00E80AF3"/>
    <w:rsid w:val="00E81038"/>
    <w:rsid w:val="00E82332"/>
    <w:rsid w:val="00E83399"/>
    <w:rsid w:val="00E9050B"/>
    <w:rsid w:val="00E92100"/>
    <w:rsid w:val="00E929E0"/>
    <w:rsid w:val="00E92B11"/>
    <w:rsid w:val="00E9309D"/>
    <w:rsid w:val="00E93385"/>
    <w:rsid w:val="00E9545F"/>
    <w:rsid w:val="00E954D0"/>
    <w:rsid w:val="00E9612C"/>
    <w:rsid w:val="00EA0815"/>
    <w:rsid w:val="00EA13E6"/>
    <w:rsid w:val="00EA2032"/>
    <w:rsid w:val="00EA247B"/>
    <w:rsid w:val="00EA28AF"/>
    <w:rsid w:val="00EA371A"/>
    <w:rsid w:val="00EA3DED"/>
    <w:rsid w:val="00EA4E33"/>
    <w:rsid w:val="00EA5384"/>
    <w:rsid w:val="00EA5AE8"/>
    <w:rsid w:val="00EA7F60"/>
    <w:rsid w:val="00EB0CD7"/>
    <w:rsid w:val="00EB1757"/>
    <w:rsid w:val="00EB1ECA"/>
    <w:rsid w:val="00EB4E13"/>
    <w:rsid w:val="00EB6D03"/>
    <w:rsid w:val="00EB7A71"/>
    <w:rsid w:val="00EB7AD1"/>
    <w:rsid w:val="00EC0F10"/>
    <w:rsid w:val="00EC157D"/>
    <w:rsid w:val="00EC25D9"/>
    <w:rsid w:val="00EC2620"/>
    <w:rsid w:val="00EC37E0"/>
    <w:rsid w:val="00EC3D63"/>
    <w:rsid w:val="00EC45A7"/>
    <w:rsid w:val="00EC5338"/>
    <w:rsid w:val="00EC5FFF"/>
    <w:rsid w:val="00EC7A71"/>
    <w:rsid w:val="00ED0E87"/>
    <w:rsid w:val="00ED1596"/>
    <w:rsid w:val="00ED2944"/>
    <w:rsid w:val="00ED476E"/>
    <w:rsid w:val="00ED479B"/>
    <w:rsid w:val="00ED57E8"/>
    <w:rsid w:val="00ED5F69"/>
    <w:rsid w:val="00ED60FB"/>
    <w:rsid w:val="00ED7109"/>
    <w:rsid w:val="00EE102A"/>
    <w:rsid w:val="00EE177C"/>
    <w:rsid w:val="00EE1E52"/>
    <w:rsid w:val="00EE4892"/>
    <w:rsid w:val="00EE6D99"/>
    <w:rsid w:val="00EE7386"/>
    <w:rsid w:val="00EF08A4"/>
    <w:rsid w:val="00EF1161"/>
    <w:rsid w:val="00EF3533"/>
    <w:rsid w:val="00EF3FD3"/>
    <w:rsid w:val="00EF4500"/>
    <w:rsid w:val="00EF5AE6"/>
    <w:rsid w:val="00EF5B6A"/>
    <w:rsid w:val="00EF6967"/>
    <w:rsid w:val="00EF7A31"/>
    <w:rsid w:val="00EF7B1A"/>
    <w:rsid w:val="00F0154A"/>
    <w:rsid w:val="00F0234B"/>
    <w:rsid w:val="00F02D7A"/>
    <w:rsid w:val="00F03195"/>
    <w:rsid w:val="00F035DA"/>
    <w:rsid w:val="00F03A0C"/>
    <w:rsid w:val="00F04783"/>
    <w:rsid w:val="00F103C9"/>
    <w:rsid w:val="00F11454"/>
    <w:rsid w:val="00F13EB0"/>
    <w:rsid w:val="00F14C2E"/>
    <w:rsid w:val="00F14C87"/>
    <w:rsid w:val="00F15BF6"/>
    <w:rsid w:val="00F15CB0"/>
    <w:rsid w:val="00F17151"/>
    <w:rsid w:val="00F2121D"/>
    <w:rsid w:val="00F2165F"/>
    <w:rsid w:val="00F216AC"/>
    <w:rsid w:val="00F2259B"/>
    <w:rsid w:val="00F22B86"/>
    <w:rsid w:val="00F237D0"/>
    <w:rsid w:val="00F247C6"/>
    <w:rsid w:val="00F24DCD"/>
    <w:rsid w:val="00F2541B"/>
    <w:rsid w:val="00F269E0"/>
    <w:rsid w:val="00F27051"/>
    <w:rsid w:val="00F271CA"/>
    <w:rsid w:val="00F27888"/>
    <w:rsid w:val="00F27C3E"/>
    <w:rsid w:val="00F30EA2"/>
    <w:rsid w:val="00F311BC"/>
    <w:rsid w:val="00F33192"/>
    <w:rsid w:val="00F35203"/>
    <w:rsid w:val="00F3521C"/>
    <w:rsid w:val="00F3657D"/>
    <w:rsid w:val="00F366CB"/>
    <w:rsid w:val="00F373B0"/>
    <w:rsid w:val="00F40CF2"/>
    <w:rsid w:val="00F41E6D"/>
    <w:rsid w:val="00F44866"/>
    <w:rsid w:val="00F468B5"/>
    <w:rsid w:val="00F50270"/>
    <w:rsid w:val="00F53D5A"/>
    <w:rsid w:val="00F54B2F"/>
    <w:rsid w:val="00F54D5F"/>
    <w:rsid w:val="00F55263"/>
    <w:rsid w:val="00F56EC7"/>
    <w:rsid w:val="00F5785E"/>
    <w:rsid w:val="00F57B4C"/>
    <w:rsid w:val="00F6003C"/>
    <w:rsid w:val="00F611A3"/>
    <w:rsid w:val="00F6145B"/>
    <w:rsid w:val="00F61A36"/>
    <w:rsid w:val="00F63413"/>
    <w:rsid w:val="00F635BF"/>
    <w:rsid w:val="00F63780"/>
    <w:rsid w:val="00F63D45"/>
    <w:rsid w:val="00F651F1"/>
    <w:rsid w:val="00F67891"/>
    <w:rsid w:val="00F67AAD"/>
    <w:rsid w:val="00F70760"/>
    <w:rsid w:val="00F709F9"/>
    <w:rsid w:val="00F70C3C"/>
    <w:rsid w:val="00F70CC1"/>
    <w:rsid w:val="00F71EE5"/>
    <w:rsid w:val="00F72751"/>
    <w:rsid w:val="00F729A0"/>
    <w:rsid w:val="00F746CB"/>
    <w:rsid w:val="00F76FB0"/>
    <w:rsid w:val="00F8140F"/>
    <w:rsid w:val="00F81B38"/>
    <w:rsid w:val="00F82E59"/>
    <w:rsid w:val="00F8343A"/>
    <w:rsid w:val="00F83459"/>
    <w:rsid w:val="00F83A8C"/>
    <w:rsid w:val="00F83FFD"/>
    <w:rsid w:val="00F84BEE"/>
    <w:rsid w:val="00F84DD2"/>
    <w:rsid w:val="00F87B1E"/>
    <w:rsid w:val="00F901DA"/>
    <w:rsid w:val="00F92255"/>
    <w:rsid w:val="00F95F32"/>
    <w:rsid w:val="00F967C2"/>
    <w:rsid w:val="00F97967"/>
    <w:rsid w:val="00FA058F"/>
    <w:rsid w:val="00FA079E"/>
    <w:rsid w:val="00FA11AA"/>
    <w:rsid w:val="00FA13E9"/>
    <w:rsid w:val="00FA3A87"/>
    <w:rsid w:val="00FA4B11"/>
    <w:rsid w:val="00FA5144"/>
    <w:rsid w:val="00FA66C4"/>
    <w:rsid w:val="00FA6B24"/>
    <w:rsid w:val="00FB0BB4"/>
    <w:rsid w:val="00FB1527"/>
    <w:rsid w:val="00FB1F56"/>
    <w:rsid w:val="00FB20B7"/>
    <w:rsid w:val="00FB26A0"/>
    <w:rsid w:val="00FB3E13"/>
    <w:rsid w:val="00FB3E5F"/>
    <w:rsid w:val="00FB4124"/>
    <w:rsid w:val="00FB4587"/>
    <w:rsid w:val="00FB4A56"/>
    <w:rsid w:val="00FB50B9"/>
    <w:rsid w:val="00FB5297"/>
    <w:rsid w:val="00FB6DA1"/>
    <w:rsid w:val="00FB7856"/>
    <w:rsid w:val="00FC0419"/>
    <w:rsid w:val="00FC0DBC"/>
    <w:rsid w:val="00FC1F1B"/>
    <w:rsid w:val="00FC2E4E"/>
    <w:rsid w:val="00FC3A19"/>
    <w:rsid w:val="00FC3E7F"/>
    <w:rsid w:val="00FC4D44"/>
    <w:rsid w:val="00FC592C"/>
    <w:rsid w:val="00FC610C"/>
    <w:rsid w:val="00FC6D28"/>
    <w:rsid w:val="00FC75BF"/>
    <w:rsid w:val="00FD07A1"/>
    <w:rsid w:val="00FD4AE3"/>
    <w:rsid w:val="00FD4D65"/>
    <w:rsid w:val="00FD57FB"/>
    <w:rsid w:val="00FD589E"/>
    <w:rsid w:val="00FD7286"/>
    <w:rsid w:val="00FE09B3"/>
    <w:rsid w:val="00FE105C"/>
    <w:rsid w:val="00FE195B"/>
    <w:rsid w:val="00FE240E"/>
    <w:rsid w:val="00FE5818"/>
    <w:rsid w:val="00FE65ED"/>
    <w:rsid w:val="00FE7BFA"/>
    <w:rsid w:val="00FF01B2"/>
    <w:rsid w:val="00FF1E08"/>
    <w:rsid w:val="00FF20BB"/>
    <w:rsid w:val="00FF3FE5"/>
    <w:rsid w:val="00FF4759"/>
    <w:rsid w:val="00FF6C3A"/>
    <w:rsid w:val="00FF6CE2"/>
    <w:rsid w:val="00FF6E42"/>
    <w:rsid w:val="00FF7B09"/>
    <w:rsid w:val="64C08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96506"/>
  <w15:docId w15:val="{76B3D2E2-96A0-4B40-9589-401507D3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27F"/>
    <w:rPr>
      <w:rFonts w:ascii="Arial" w:hAnsi="Arial"/>
      <w:szCs w:val="24"/>
    </w:rPr>
  </w:style>
  <w:style w:type="paragraph" w:styleId="Heading1">
    <w:name w:val="heading 1"/>
    <w:basedOn w:val="Normal"/>
    <w:next w:val="Normal"/>
    <w:link w:val="Heading1Char"/>
    <w:rsid w:val="007526B6"/>
    <w:pPr>
      <w:spacing w:before="240" w:after="40"/>
      <w:outlineLvl w:val="0"/>
    </w:pPr>
    <w:rPr>
      <w:rFonts w:ascii="Gotham-Bold" w:hAnsi="Gotham-Bold"/>
      <w:caps/>
      <w:kern w:val="28"/>
      <w:sz w:val="28"/>
      <w:szCs w:val="20"/>
    </w:rPr>
  </w:style>
  <w:style w:type="paragraph" w:styleId="Heading2">
    <w:name w:val="heading 2"/>
    <w:basedOn w:val="Normal"/>
    <w:next w:val="Normal"/>
    <w:link w:val="Heading2Char"/>
    <w:rsid w:val="007B268C"/>
    <w:pPr>
      <w:pBdr>
        <w:bottom w:val="single" w:sz="8" w:space="2" w:color="006600"/>
      </w:pBdr>
      <w:spacing w:after="240"/>
      <w:outlineLvl w:val="1"/>
    </w:pPr>
    <w:rPr>
      <w:rFonts w:ascii="Gotham-Bold" w:hAnsi="Gotham-Bold"/>
      <w:color w:val="006600"/>
      <w:sz w:val="22"/>
      <w:szCs w:val="20"/>
    </w:rPr>
  </w:style>
  <w:style w:type="paragraph" w:styleId="Heading3">
    <w:name w:val="heading 3"/>
    <w:basedOn w:val="Normal"/>
    <w:next w:val="Normal"/>
    <w:link w:val="Heading3Char"/>
    <w:rsid w:val="007642B1"/>
    <w:pPr>
      <w:keepNext/>
      <w:spacing w:before="360" w:after="120"/>
      <w:outlineLvl w:val="2"/>
    </w:pPr>
    <w:rPr>
      <w:rFonts w:ascii="Gotham-Book" w:hAnsi="Gotham-Book" w:cs="Arial"/>
      <w:b/>
      <w:bCs/>
      <w:caps/>
      <w:sz w:val="24"/>
      <w:szCs w:val="26"/>
    </w:rPr>
  </w:style>
  <w:style w:type="paragraph" w:styleId="Heading4">
    <w:name w:val="heading 4"/>
    <w:basedOn w:val="Normal"/>
    <w:next w:val="Normal"/>
    <w:rsid w:val="008F0C16"/>
    <w:pPr>
      <w:keepNext/>
      <w:spacing w:before="240" w:after="120"/>
      <w:outlineLvl w:val="3"/>
    </w:pPr>
    <w:rPr>
      <w:rFonts w:ascii="Gotham-Book" w:hAnsi="Gotham-Book"/>
      <w:b/>
      <w:bCs/>
      <w:sz w:val="22"/>
      <w:szCs w:val="28"/>
    </w:rPr>
  </w:style>
  <w:style w:type="paragraph" w:styleId="Heading9">
    <w:name w:val="heading 9"/>
    <w:basedOn w:val="Normal"/>
    <w:next w:val="Normal"/>
    <w:rsid w:val="00DF3F4D"/>
    <w:pPr>
      <w:pBdr>
        <w:bottom w:val="single" w:sz="8" w:space="2" w:color="E37723"/>
      </w:pBdr>
      <w:spacing w:before="240" w:after="120"/>
      <w:outlineLvl w:val="8"/>
    </w:pPr>
    <w:rPr>
      <w:rFonts w:ascii="Gotham-Bold" w:hAnsi="Gotham-Bold" w:cs="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26B6"/>
    <w:rPr>
      <w:rFonts w:ascii="Gotham-Bold" w:hAnsi="Gotham-Bold"/>
      <w:caps/>
      <w:kern w:val="28"/>
      <w:sz w:val="28"/>
      <w:lang w:val="en-US" w:eastAsia="en-US" w:bidi="ar-SA"/>
    </w:rPr>
  </w:style>
  <w:style w:type="paragraph" w:customStyle="1" w:styleId="RSGFootnote">
    <w:name w:val="RSG Footnote"/>
    <w:basedOn w:val="RSGBody"/>
    <w:rsid w:val="0012072A"/>
    <w:rPr>
      <w:rFonts w:eastAsia="Times"/>
      <w:color w:val="53565A"/>
      <w:sz w:val="16"/>
    </w:rPr>
  </w:style>
  <w:style w:type="paragraph" w:styleId="BodyText">
    <w:name w:val="Body Text"/>
    <w:basedOn w:val="Normal"/>
    <w:link w:val="BodyTextChar"/>
    <w:rsid w:val="00445A52"/>
    <w:pPr>
      <w:spacing w:before="120" w:after="120" w:line="260" w:lineRule="atLeast"/>
      <w:jc w:val="both"/>
    </w:pPr>
    <w:rPr>
      <w:sz w:val="22"/>
    </w:rPr>
  </w:style>
  <w:style w:type="character" w:customStyle="1" w:styleId="BodyTextChar">
    <w:name w:val="Body Text Char"/>
    <w:basedOn w:val="DefaultParagraphFont"/>
    <w:link w:val="BodyText"/>
    <w:rsid w:val="00445A52"/>
    <w:rPr>
      <w:rFonts w:ascii="Arial" w:hAnsi="Arial"/>
      <w:sz w:val="22"/>
      <w:szCs w:val="24"/>
    </w:rPr>
  </w:style>
  <w:style w:type="paragraph" w:styleId="Header">
    <w:name w:val="header"/>
    <w:basedOn w:val="Normal"/>
    <w:link w:val="HeaderChar"/>
    <w:unhideWhenUsed/>
    <w:rsid w:val="004A7C25"/>
    <w:pPr>
      <w:tabs>
        <w:tab w:val="center" w:pos="4680"/>
        <w:tab w:val="right" w:pos="9360"/>
      </w:tabs>
    </w:pPr>
  </w:style>
  <w:style w:type="character" w:customStyle="1" w:styleId="HeaderChar">
    <w:name w:val="Header Char"/>
    <w:basedOn w:val="DefaultParagraphFont"/>
    <w:link w:val="Header"/>
    <w:rsid w:val="004A7C25"/>
    <w:rPr>
      <w:rFonts w:ascii="Arial" w:hAnsi="Arial"/>
      <w:szCs w:val="24"/>
    </w:rPr>
  </w:style>
  <w:style w:type="paragraph" w:styleId="Footer">
    <w:name w:val="footer"/>
    <w:basedOn w:val="Normal"/>
    <w:link w:val="FooterChar"/>
    <w:uiPriority w:val="99"/>
    <w:unhideWhenUsed/>
    <w:rsid w:val="004A7C25"/>
    <w:pPr>
      <w:tabs>
        <w:tab w:val="center" w:pos="4680"/>
        <w:tab w:val="right" w:pos="9360"/>
      </w:tabs>
    </w:pPr>
  </w:style>
  <w:style w:type="paragraph" w:styleId="TOC1">
    <w:name w:val="toc 1"/>
    <w:aliases w:val="RSG TOC"/>
    <w:basedOn w:val="Normal"/>
    <w:next w:val="Normal"/>
    <w:autoRedefine/>
    <w:uiPriority w:val="39"/>
    <w:qFormat/>
    <w:rsid w:val="0011467B"/>
    <w:pPr>
      <w:tabs>
        <w:tab w:val="right" w:leader="dot" w:pos="10080"/>
      </w:tabs>
      <w:spacing w:before="240" w:after="120"/>
    </w:pPr>
    <w:rPr>
      <w:b/>
      <w:bCs/>
      <w:caps/>
      <w:noProof/>
      <w:spacing w:val="10"/>
    </w:rPr>
  </w:style>
  <w:style w:type="paragraph" w:customStyle="1" w:styleId="Insert1">
    <w:name w:val="Insert 1"/>
    <w:basedOn w:val="Normal"/>
    <w:rsid w:val="00F0154A"/>
    <w:pPr>
      <w:ind w:left="-1080"/>
    </w:pPr>
    <w:rPr>
      <w:rFonts w:ascii="Gotham-Light" w:hAnsi="Gotham-Light"/>
      <w:color w:val="EF5815"/>
      <w:sz w:val="48"/>
    </w:rPr>
  </w:style>
  <w:style w:type="paragraph" w:customStyle="1" w:styleId="Insert2">
    <w:name w:val="Insert 2"/>
    <w:basedOn w:val="Normal"/>
    <w:link w:val="Insert2Char"/>
    <w:rsid w:val="007F247E"/>
    <w:pPr>
      <w:ind w:left="-1080" w:right="-720"/>
    </w:pPr>
    <w:rPr>
      <w:rFonts w:ascii="Gotham-Light" w:hAnsi="Gotham-Light"/>
      <w:sz w:val="48"/>
    </w:rPr>
  </w:style>
  <w:style w:type="character" w:customStyle="1" w:styleId="Insert2Char">
    <w:name w:val="Insert 2 Char"/>
    <w:basedOn w:val="DefaultParagraphFont"/>
    <w:link w:val="Insert2"/>
    <w:rsid w:val="007F247E"/>
    <w:rPr>
      <w:rFonts w:ascii="Gotham-Light" w:hAnsi="Gotham-Light"/>
      <w:sz w:val="48"/>
      <w:szCs w:val="24"/>
      <w:lang w:val="en-US" w:eastAsia="en-US" w:bidi="ar-SA"/>
    </w:rPr>
  </w:style>
  <w:style w:type="character" w:customStyle="1" w:styleId="FooterChar">
    <w:name w:val="Footer Char"/>
    <w:basedOn w:val="DefaultParagraphFont"/>
    <w:link w:val="Footer"/>
    <w:uiPriority w:val="99"/>
    <w:rsid w:val="004A7C25"/>
    <w:rPr>
      <w:rFonts w:ascii="Arial" w:hAnsi="Arial"/>
      <w:szCs w:val="24"/>
    </w:rPr>
  </w:style>
  <w:style w:type="paragraph" w:customStyle="1" w:styleId="Insert3">
    <w:name w:val="Insert 3"/>
    <w:basedOn w:val="Normal"/>
    <w:rsid w:val="0062074E"/>
    <w:pPr>
      <w:keepNext/>
      <w:pageBreakBefore/>
      <w:ind w:left="-1080"/>
      <w:outlineLvl w:val="1"/>
    </w:pPr>
    <w:rPr>
      <w:rFonts w:ascii="Gotham-Bold" w:hAnsi="Gotham-Bold"/>
      <w:caps/>
      <w:color w:val="000000"/>
      <w:sz w:val="28"/>
      <w:szCs w:val="20"/>
    </w:rPr>
  </w:style>
  <w:style w:type="character" w:styleId="CommentReference">
    <w:name w:val="annotation reference"/>
    <w:basedOn w:val="DefaultParagraphFont"/>
    <w:uiPriority w:val="99"/>
    <w:semiHidden/>
    <w:rsid w:val="00E80AF3"/>
    <w:rPr>
      <w:sz w:val="16"/>
      <w:szCs w:val="16"/>
    </w:rPr>
  </w:style>
  <w:style w:type="paragraph" w:styleId="CommentText">
    <w:name w:val="annotation text"/>
    <w:basedOn w:val="Normal"/>
    <w:link w:val="CommentTextChar"/>
    <w:uiPriority w:val="99"/>
    <w:semiHidden/>
    <w:rsid w:val="00E80AF3"/>
    <w:rPr>
      <w:rFonts w:eastAsia="Times"/>
      <w:szCs w:val="20"/>
    </w:rPr>
  </w:style>
  <w:style w:type="paragraph" w:styleId="BalloonText">
    <w:name w:val="Balloon Text"/>
    <w:basedOn w:val="Normal"/>
    <w:semiHidden/>
    <w:rsid w:val="00E80AF3"/>
    <w:rPr>
      <w:rFonts w:ascii="Tahoma" w:hAnsi="Tahoma" w:cs="Tahoma"/>
      <w:sz w:val="16"/>
      <w:szCs w:val="16"/>
    </w:rPr>
  </w:style>
  <w:style w:type="paragraph" w:customStyle="1" w:styleId="ReportTitle1">
    <w:name w:val="Report Title 1"/>
    <w:basedOn w:val="Normal"/>
    <w:rsid w:val="00DF3F4D"/>
    <w:pPr>
      <w:outlineLvl w:val="0"/>
    </w:pPr>
    <w:rPr>
      <w:rFonts w:ascii="Gotham-Light" w:hAnsi="Gotham-Light"/>
      <w:color w:val="E4722C"/>
      <w:kern w:val="28"/>
      <w:sz w:val="48"/>
      <w:szCs w:val="20"/>
    </w:rPr>
  </w:style>
  <w:style w:type="paragraph" w:customStyle="1" w:styleId="ReportTitle2">
    <w:name w:val="Report Title 2"/>
    <w:basedOn w:val="Normal"/>
    <w:rsid w:val="00DF3F4D"/>
    <w:pPr>
      <w:outlineLvl w:val="0"/>
    </w:pPr>
    <w:rPr>
      <w:rFonts w:ascii="Gotham-Light" w:hAnsi="Gotham-Light"/>
      <w:kern w:val="28"/>
      <w:sz w:val="48"/>
      <w:szCs w:val="20"/>
    </w:rPr>
  </w:style>
  <w:style w:type="paragraph" w:styleId="ListBullet">
    <w:name w:val="List Bullet"/>
    <w:basedOn w:val="BodyText"/>
    <w:rsid w:val="005C33AD"/>
    <w:pPr>
      <w:numPr>
        <w:numId w:val="1"/>
      </w:numPr>
    </w:pPr>
  </w:style>
  <w:style w:type="paragraph" w:styleId="ListBullet4">
    <w:name w:val="List Bullet 4"/>
    <w:basedOn w:val="Normal"/>
    <w:rsid w:val="00A245C6"/>
    <w:pPr>
      <w:tabs>
        <w:tab w:val="num" w:pos="1440"/>
      </w:tabs>
      <w:spacing w:after="240"/>
      <w:ind w:left="1440" w:hanging="360"/>
      <w:jc w:val="both"/>
    </w:pPr>
    <w:rPr>
      <w:rFonts w:eastAsia="Times"/>
      <w:szCs w:val="20"/>
    </w:rPr>
  </w:style>
  <w:style w:type="paragraph" w:styleId="FootnoteText">
    <w:name w:val="footnote text"/>
    <w:basedOn w:val="Normal"/>
    <w:semiHidden/>
    <w:rsid w:val="000504E3"/>
    <w:rPr>
      <w:rFonts w:ascii="Gotham-Book" w:eastAsia="Times" w:hAnsi="Gotham-Book"/>
      <w:szCs w:val="20"/>
    </w:rPr>
  </w:style>
  <w:style w:type="character" w:styleId="FootnoteReference">
    <w:name w:val="footnote reference"/>
    <w:basedOn w:val="DefaultParagraphFont"/>
    <w:semiHidden/>
    <w:rsid w:val="000504E3"/>
    <w:rPr>
      <w:rFonts w:ascii="Gotham-Book" w:hAnsi="Gotham-Book"/>
      <w:sz w:val="20"/>
      <w:vertAlign w:val="superscript"/>
    </w:rPr>
  </w:style>
  <w:style w:type="paragraph" w:customStyle="1" w:styleId="RSGIMGCentered">
    <w:name w:val="RSG IMG Centered"/>
    <w:basedOn w:val="BodyText"/>
    <w:qFormat/>
    <w:rsid w:val="0099086F"/>
    <w:pPr>
      <w:spacing w:before="240" w:after="240" w:line="300" w:lineRule="auto"/>
      <w:jc w:val="center"/>
    </w:pPr>
    <w:rPr>
      <w:sz w:val="24"/>
      <w:szCs w:val="20"/>
    </w:rPr>
  </w:style>
  <w:style w:type="paragraph" w:customStyle="1" w:styleId="RSGHeading03">
    <w:name w:val="RSG Heading 03"/>
    <w:basedOn w:val="Heading3"/>
    <w:qFormat/>
    <w:rsid w:val="0099086F"/>
    <w:rPr>
      <w:rFonts w:ascii="Arial" w:hAnsi="Arial"/>
      <w:i/>
    </w:rPr>
  </w:style>
  <w:style w:type="character" w:customStyle="1" w:styleId="Heading2Char">
    <w:name w:val="Heading 2 Char"/>
    <w:basedOn w:val="DefaultParagraphFont"/>
    <w:link w:val="Heading2"/>
    <w:rsid w:val="007B268C"/>
    <w:rPr>
      <w:rFonts w:ascii="Gotham-Bold" w:hAnsi="Gotham-Bold"/>
      <w:color w:val="006600"/>
      <w:sz w:val="22"/>
    </w:rPr>
  </w:style>
  <w:style w:type="paragraph" w:customStyle="1" w:styleId="RSGBulleted">
    <w:name w:val="RSG Bulleted"/>
    <w:basedOn w:val="Normal"/>
    <w:qFormat/>
    <w:rsid w:val="00FF3FE5"/>
    <w:pPr>
      <w:numPr>
        <w:numId w:val="2"/>
      </w:numPr>
      <w:spacing w:before="240" w:after="240" w:line="300" w:lineRule="auto"/>
      <w:jc w:val="both"/>
    </w:pPr>
    <w:rPr>
      <w:sz w:val="22"/>
      <w:szCs w:val="28"/>
    </w:rPr>
  </w:style>
  <w:style w:type="paragraph" w:customStyle="1" w:styleId="RSGBodyBold">
    <w:name w:val="RSG Body + Bold"/>
    <w:basedOn w:val="RSGBody"/>
    <w:qFormat/>
    <w:rsid w:val="0099086F"/>
    <w:rPr>
      <w:b/>
    </w:rPr>
  </w:style>
  <w:style w:type="table" w:styleId="TableGrid">
    <w:name w:val="Table Grid"/>
    <w:basedOn w:val="TableNormal"/>
    <w:uiPriority w:val="59"/>
    <w:rsid w:val="0041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724E24"/>
    <w:rPr>
      <w:rFonts w:eastAsia="Times New Roman"/>
      <w:b/>
      <w:bCs/>
    </w:rPr>
  </w:style>
  <w:style w:type="paragraph" w:customStyle="1" w:styleId="RSGFooter">
    <w:name w:val="RSG Footer"/>
    <w:basedOn w:val="Normal"/>
    <w:qFormat/>
    <w:rsid w:val="00D309EA"/>
    <w:pPr>
      <w:jc w:val="right"/>
    </w:pPr>
    <w:rPr>
      <w:rFonts w:asciiTheme="minorHAnsi" w:hAnsiTheme="minorHAnsi"/>
      <w:color w:val="53565A"/>
      <w:sz w:val="16"/>
    </w:rPr>
  </w:style>
  <w:style w:type="character" w:styleId="Hyperlink">
    <w:name w:val="Hyperlink"/>
    <w:basedOn w:val="DefaultParagraphFont"/>
    <w:uiPriority w:val="99"/>
    <w:unhideWhenUsed/>
    <w:rsid w:val="003A49A7"/>
    <w:rPr>
      <w:color w:val="53565A" w:themeColor="hyperlink"/>
      <w:u w:val="single"/>
    </w:rPr>
  </w:style>
  <w:style w:type="paragraph" w:styleId="PlainText">
    <w:name w:val="Plain Text"/>
    <w:basedOn w:val="Normal"/>
    <w:link w:val="PlainTextChar"/>
    <w:rsid w:val="0028037E"/>
    <w:rPr>
      <w:rFonts w:ascii="Trebuchet MS" w:hAnsi="Trebuchet MS"/>
      <w:sz w:val="22"/>
      <w:szCs w:val="22"/>
    </w:rPr>
  </w:style>
  <w:style w:type="character" w:customStyle="1" w:styleId="PlainTextChar">
    <w:name w:val="Plain Text Char"/>
    <w:basedOn w:val="DefaultParagraphFont"/>
    <w:link w:val="PlainText"/>
    <w:rsid w:val="0028037E"/>
    <w:rPr>
      <w:rFonts w:ascii="Trebuchet MS" w:hAnsi="Trebuchet MS"/>
      <w:sz w:val="22"/>
      <w:szCs w:val="22"/>
    </w:rPr>
  </w:style>
  <w:style w:type="character" w:customStyle="1" w:styleId="Heading3Char">
    <w:name w:val="Heading 3 Char"/>
    <w:basedOn w:val="DefaultParagraphFont"/>
    <w:link w:val="Heading3"/>
    <w:rsid w:val="00FC3E7F"/>
    <w:rPr>
      <w:rFonts w:ascii="Gotham-Book" w:hAnsi="Gotham-Book" w:cs="Arial"/>
      <w:b/>
      <w:bCs/>
      <w:caps/>
      <w:sz w:val="24"/>
      <w:szCs w:val="26"/>
    </w:rPr>
  </w:style>
  <w:style w:type="character" w:customStyle="1" w:styleId="CommentTextChar">
    <w:name w:val="Comment Text Char"/>
    <w:basedOn w:val="DefaultParagraphFont"/>
    <w:link w:val="CommentText"/>
    <w:uiPriority w:val="99"/>
    <w:semiHidden/>
    <w:rsid w:val="00FC3E7F"/>
    <w:rPr>
      <w:rFonts w:ascii="Arial" w:eastAsia="Times" w:hAnsi="Arial"/>
    </w:rPr>
  </w:style>
  <w:style w:type="paragraph" w:customStyle="1" w:styleId="2ndHeading">
    <w:name w:val="2nd Heading"/>
    <w:basedOn w:val="Heading1"/>
    <w:next w:val="BodyText"/>
    <w:link w:val="2ndHeadingChar"/>
    <w:autoRedefine/>
    <w:rsid w:val="0030370C"/>
    <w:pPr>
      <w:keepNext/>
      <w:pBdr>
        <w:bottom w:val="single" w:sz="12" w:space="1" w:color="ED8B00" w:themeColor="text2"/>
      </w:pBdr>
      <w:spacing w:before="120"/>
    </w:pPr>
    <w:rPr>
      <w:color w:val="ED8B00" w:themeColor="text2"/>
      <w:spacing w:val="20"/>
    </w:rPr>
  </w:style>
  <w:style w:type="character" w:customStyle="1" w:styleId="2ndHeadingChar">
    <w:name w:val="2nd Heading Char"/>
    <w:basedOn w:val="Heading1Char"/>
    <w:link w:val="2ndHeading"/>
    <w:rsid w:val="0030370C"/>
    <w:rPr>
      <w:rFonts w:ascii="Gotham-Bold" w:hAnsi="Gotham-Bold"/>
      <w:caps/>
      <w:color w:val="ED8B00" w:themeColor="text2"/>
      <w:spacing w:val="20"/>
      <w:kern w:val="28"/>
      <w:sz w:val="28"/>
      <w:lang w:val="en-US" w:eastAsia="en-US" w:bidi="ar-SA"/>
    </w:rPr>
  </w:style>
  <w:style w:type="paragraph" w:styleId="Revision">
    <w:name w:val="Revision"/>
    <w:hidden/>
    <w:uiPriority w:val="99"/>
    <w:semiHidden/>
    <w:rsid w:val="00750658"/>
    <w:rPr>
      <w:rFonts w:ascii="Arial" w:hAnsi="Arial"/>
      <w:szCs w:val="24"/>
    </w:rPr>
  </w:style>
  <w:style w:type="paragraph" w:customStyle="1" w:styleId="RSGHeading01">
    <w:name w:val="RSG Heading 01"/>
    <w:basedOn w:val="Normal"/>
    <w:qFormat/>
    <w:rsid w:val="003B0BA1"/>
    <w:pPr>
      <w:pBdr>
        <w:top w:val="single" w:sz="24" w:space="4" w:color="ED8B00" w:themeColor="text2"/>
        <w:left w:val="single" w:sz="24" w:space="5" w:color="ED8B00" w:themeColor="text2"/>
        <w:bottom w:val="single" w:sz="24" w:space="3" w:color="ED8B00" w:themeColor="text2"/>
        <w:right w:val="single" w:sz="24" w:space="5" w:color="ED8B00" w:themeColor="text2"/>
      </w:pBdr>
      <w:shd w:val="clear" w:color="auto" w:fill="ED8B00" w:themeFill="text2"/>
      <w:spacing w:before="120" w:after="40" w:line="280" w:lineRule="exact"/>
      <w:outlineLvl w:val="0"/>
    </w:pPr>
    <w:rPr>
      <w:rFonts w:ascii="Arial Black" w:hAnsi="Arial Black"/>
      <w:caps/>
      <w:color w:val="FFFFFF" w:themeColor="background1"/>
      <w:spacing w:val="20"/>
      <w:kern w:val="28"/>
      <w:sz w:val="28"/>
      <w:szCs w:val="20"/>
    </w:rPr>
  </w:style>
  <w:style w:type="paragraph" w:customStyle="1" w:styleId="RSGHeading02">
    <w:name w:val="RSG Heading 02"/>
    <w:basedOn w:val="2ndHeading"/>
    <w:qFormat/>
    <w:rsid w:val="0011467B"/>
    <w:pPr>
      <w:spacing w:line="280" w:lineRule="exact"/>
      <w:outlineLvl w:val="1"/>
    </w:pPr>
    <w:rPr>
      <w:rFonts w:ascii="Arial" w:hAnsi="Arial"/>
      <w:b/>
    </w:rPr>
  </w:style>
  <w:style w:type="paragraph" w:customStyle="1" w:styleId="RSGBody">
    <w:name w:val="RSG Body"/>
    <w:basedOn w:val="Normal"/>
    <w:qFormat/>
    <w:rsid w:val="00982E54"/>
    <w:pPr>
      <w:suppressAutoHyphens/>
      <w:spacing w:before="240" w:after="240" w:line="360" w:lineRule="auto"/>
      <w:jc w:val="both"/>
    </w:pPr>
    <w:rPr>
      <w:sz w:val="22"/>
      <w:szCs w:val="20"/>
    </w:rPr>
  </w:style>
  <w:style w:type="character" w:styleId="UnresolvedMention">
    <w:name w:val="Unresolved Mention"/>
    <w:basedOn w:val="DefaultParagraphFont"/>
    <w:uiPriority w:val="99"/>
    <w:semiHidden/>
    <w:unhideWhenUsed/>
    <w:rsid w:val="00FD7286"/>
    <w:rPr>
      <w:color w:val="605E5C"/>
      <w:shd w:val="clear" w:color="auto" w:fill="E1DFDD"/>
    </w:rPr>
  </w:style>
  <w:style w:type="paragraph" w:customStyle="1" w:styleId="RSGHeading02White">
    <w:name w:val="RSG Heading 02 White"/>
    <w:basedOn w:val="RSGHeading02"/>
    <w:rsid w:val="00B63CA9"/>
    <w:pPr>
      <w:pBdr>
        <w:bottom w:val="single" w:sz="12" w:space="1" w:color="FFFFFF" w:themeColor="background1"/>
      </w:pBdr>
    </w:pPr>
    <w:rPr>
      <w:color w:val="FFFFFF" w:themeColor="background1"/>
    </w:rPr>
  </w:style>
  <w:style w:type="paragraph" w:styleId="ListParagraph">
    <w:name w:val="List Paragraph"/>
    <w:basedOn w:val="Normal"/>
    <w:uiPriority w:val="34"/>
    <w:qFormat/>
    <w:rsid w:val="0099086F"/>
    <w:pPr>
      <w:ind w:left="720"/>
      <w:contextualSpacing/>
    </w:pPr>
  </w:style>
  <w:style w:type="paragraph" w:customStyle="1" w:styleId="RSGOrangeBar">
    <w:name w:val="RSG Orange Bar"/>
    <w:basedOn w:val="RSGHeading01"/>
    <w:next w:val="NoSpacing"/>
    <w:rsid w:val="00CC3DAF"/>
    <w:pPr>
      <w:outlineLvl w:val="9"/>
    </w:pPr>
  </w:style>
  <w:style w:type="paragraph" w:customStyle="1" w:styleId="RSGWhiteLine">
    <w:name w:val="RSG White Line"/>
    <w:basedOn w:val="RSGHeading02White"/>
    <w:rsid w:val="00CC3DAF"/>
    <w:pPr>
      <w:outlineLvl w:val="9"/>
    </w:pPr>
  </w:style>
  <w:style w:type="paragraph" w:styleId="NoSpacing">
    <w:name w:val="No Spacing"/>
    <w:uiPriority w:val="1"/>
    <w:rsid w:val="00CC3DAF"/>
    <w:rPr>
      <w:rFonts w:ascii="Arial" w:hAnsi="Arial"/>
      <w:szCs w:val="24"/>
    </w:rPr>
  </w:style>
  <w:style w:type="table" w:styleId="TableProfessional">
    <w:name w:val="Table Professional"/>
    <w:basedOn w:val="TableNormal"/>
    <w:rsid w:val="00C569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ormaltextrun">
    <w:name w:val="normaltextrun"/>
    <w:basedOn w:val="DefaultParagraphFont"/>
    <w:rsid w:val="00C94A63"/>
  </w:style>
  <w:style w:type="character" w:customStyle="1" w:styleId="eop">
    <w:name w:val="eop"/>
    <w:basedOn w:val="DefaultParagraphFont"/>
    <w:rsid w:val="00C94A63"/>
  </w:style>
  <w:style w:type="character" w:customStyle="1" w:styleId="apple-converted-space">
    <w:name w:val="apple-converted-space"/>
    <w:basedOn w:val="DefaultParagraphFont"/>
    <w:rsid w:val="008450FF"/>
  </w:style>
  <w:style w:type="paragraph" w:customStyle="1" w:styleId="paragraph">
    <w:name w:val="paragraph"/>
    <w:basedOn w:val="Normal"/>
    <w:rsid w:val="007F3441"/>
    <w:pPr>
      <w:spacing w:before="100" w:beforeAutospacing="1" w:after="100" w:afterAutospacing="1"/>
    </w:pPr>
    <w:rPr>
      <w:rFonts w:ascii="Times New Roman" w:hAnsi="Times New Roman"/>
      <w:sz w:val="24"/>
    </w:rPr>
  </w:style>
  <w:style w:type="paragraph" w:styleId="EndnoteText">
    <w:name w:val="endnote text"/>
    <w:basedOn w:val="Normal"/>
    <w:link w:val="EndnoteTextChar"/>
    <w:semiHidden/>
    <w:unhideWhenUsed/>
    <w:rsid w:val="00C40E00"/>
    <w:rPr>
      <w:szCs w:val="20"/>
    </w:rPr>
  </w:style>
  <w:style w:type="character" w:customStyle="1" w:styleId="EndnoteTextChar">
    <w:name w:val="Endnote Text Char"/>
    <w:basedOn w:val="DefaultParagraphFont"/>
    <w:link w:val="EndnoteText"/>
    <w:semiHidden/>
    <w:rsid w:val="00C40E00"/>
    <w:rPr>
      <w:rFonts w:ascii="Arial" w:hAnsi="Arial"/>
    </w:rPr>
  </w:style>
  <w:style w:type="character" w:styleId="EndnoteReference">
    <w:name w:val="endnote reference"/>
    <w:basedOn w:val="DefaultParagraphFont"/>
    <w:semiHidden/>
    <w:unhideWhenUsed/>
    <w:rsid w:val="00C40E00"/>
    <w:rPr>
      <w:vertAlign w:val="superscript"/>
    </w:rPr>
  </w:style>
  <w:style w:type="paragraph" w:styleId="TOC3">
    <w:name w:val="toc 3"/>
    <w:basedOn w:val="Normal"/>
    <w:next w:val="Normal"/>
    <w:autoRedefine/>
    <w:uiPriority w:val="39"/>
    <w:unhideWhenUsed/>
    <w:rsid w:val="00536C96"/>
    <w:pPr>
      <w:spacing w:after="100"/>
      <w:ind w:left="400"/>
    </w:pPr>
  </w:style>
  <w:style w:type="paragraph" w:styleId="TOC2">
    <w:name w:val="toc 2"/>
    <w:basedOn w:val="Normal"/>
    <w:next w:val="Normal"/>
    <w:autoRedefine/>
    <w:uiPriority w:val="39"/>
    <w:unhideWhenUsed/>
    <w:rsid w:val="000A6AC0"/>
    <w:pPr>
      <w:tabs>
        <w:tab w:val="right" w:leader="dot" w:pos="10070"/>
      </w:tabs>
      <w:spacing w:after="100"/>
      <w:ind w:left="200"/>
    </w:pPr>
    <w:rPr>
      <w:noProof/>
    </w:rPr>
  </w:style>
  <w:style w:type="character" w:styleId="Mention">
    <w:name w:val="Mention"/>
    <w:basedOn w:val="DefaultParagraphFont"/>
    <w:uiPriority w:val="99"/>
    <w:unhideWhenUsed/>
    <w:rsid w:val="002026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027">
      <w:bodyDiv w:val="1"/>
      <w:marLeft w:val="0"/>
      <w:marRight w:val="0"/>
      <w:marTop w:val="0"/>
      <w:marBottom w:val="0"/>
      <w:divBdr>
        <w:top w:val="none" w:sz="0" w:space="0" w:color="auto"/>
        <w:left w:val="none" w:sz="0" w:space="0" w:color="auto"/>
        <w:bottom w:val="none" w:sz="0" w:space="0" w:color="auto"/>
        <w:right w:val="none" w:sz="0" w:space="0" w:color="auto"/>
      </w:divBdr>
    </w:div>
    <w:div w:id="41366285">
      <w:bodyDiv w:val="1"/>
      <w:marLeft w:val="0"/>
      <w:marRight w:val="0"/>
      <w:marTop w:val="0"/>
      <w:marBottom w:val="0"/>
      <w:divBdr>
        <w:top w:val="none" w:sz="0" w:space="0" w:color="auto"/>
        <w:left w:val="none" w:sz="0" w:space="0" w:color="auto"/>
        <w:bottom w:val="none" w:sz="0" w:space="0" w:color="auto"/>
        <w:right w:val="none" w:sz="0" w:space="0" w:color="auto"/>
      </w:divBdr>
    </w:div>
    <w:div w:id="320471855">
      <w:bodyDiv w:val="1"/>
      <w:marLeft w:val="0"/>
      <w:marRight w:val="0"/>
      <w:marTop w:val="0"/>
      <w:marBottom w:val="0"/>
      <w:divBdr>
        <w:top w:val="none" w:sz="0" w:space="0" w:color="auto"/>
        <w:left w:val="none" w:sz="0" w:space="0" w:color="auto"/>
        <w:bottom w:val="none" w:sz="0" w:space="0" w:color="auto"/>
        <w:right w:val="none" w:sz="0" w:space="0" w:color="auto"/>
      </w:divBdr>
    </w:div>
    <w:div w:id="506403980">
      <w:bodyDiv w:val="1"/>
      <w:marLeft w:val="0"/>
      <w:marRight w:val="0"/>
      <w:marTop w:val="0"/>
      <w:marBottom w:val="0"/>
      <w:divBdr>
        <w:top w:val="none" w:sz="0" w:space="0" w:color="auto"/>
        <w:left w:val="none" w:sz="0" w:space="0" w:color="auto"/>
        <w:bottom w:val="none" w:sz="0" w:space="0" w:color="auto"/>
        <w:right w:val="none" w:sz="0" w:space="0" w:color="auto"/>
      </w:divBdr>
    </w:div>
    <w:div w:id="537620157">
      <w:bodyDiv w:val="1"/>
      <w:marLeft w:val="0"/>
      <w:marRight w:val="0"/>
      <w:marTop w:val="0"/>
      <w:marBottom w:val="0"/>
      <w:divBdr>
        <w:top w:val="none" w:sz="0" w:space="0" w:color="auto"/>
        <w:left w:val="none" w:sz="0" w:space="0" w:color="auto"/>
        <w:bottom w:val="none" w:sz="0" w:space="0" w:color="auto"/>
        <w:right w:val="none" w:sz="0" w:space="0" w:color="auto"/>
      </w:divBdr>
    </w:div>
    <w:div w:id="723063762">
      <w:bodyDiv w:val="1"/>
      <w:marLeft w:val="0"/>
      <w:marRight w:val="0"/>
      <w:marTop w:val="0"/>
      <w:marBottom w:val="0"/>
      <w:divBdr>
        <w:top w:val="none" w:sz="0" w:space="0" w:color="auto"/>
        <w:left w:val="none" w:sz="0" w:space="0" w:color="auto"/>
        <w:bottom w:val="none" w:sz="0" w:space="0" w:color="auto"/>
        <w:right w:val="none" w:sz="0" w:space="0" w:color="auto"/>
      </w:divBdr>
    </w:div>
    <w:div w:id="729228693">
      <w:bodyDiv w:val="1"/>
      <w:marLeft w:val="0"/>
      <w:marRight w:val="0"/>
      <w:marTop w:val="0"/>
      <w:marBottom w:val="0"/>
      <w:divBdr>
        <w:top w:val="none" w:sz="0" w:space="0" w:color="auto"/>
        <w:left w:val="none" w:sz="0" w:space="0" w:color="auto"/>
        <w:bottom w:val="none" w:sz="0" w:space="0" w:color="auto"/>
        <w:right w:val="none" w:sz="0" w:space="0" w:color="auto"/>
      </w:divBdr>
    </w:div>
    <w:div w:id="796604569">
      <w:bodyDiv w:val="1"/>
      <w:marLeft w:val="0"/>
      <w:marRight w:val="0"/>
      <w:marTop w:val="0"/>
      <w:marBottom w:val="0"/>
      <w:divBdr>
        <w:top w:val="none" w:sz="0" w:space="0" w:color="auto"/>
        <w:left w:val="none" w:sz="0" w:space="0" w:color="auto"/>
        <w:bottom w:val="none" w:sz="0" w:space="0" w:color="auto"/>
        <w:right w:val="none" w:sz="0" w:space="0" w:color="auto"/>
      </w:divBdr>
    </w:div>
    <w:div w:id="842430345">
      <w:bodyDiv w:val="1"/>
      <w:marLeft w:val="0"/>
      <w:marRight w:val="0"/>
      <w:marTop w:val="0"/>
      <w:marBottom w:val="0"/>
      <w:divBdr>
        <w:top w:val="none" w:sz="0" w:space="0" w:color="auto"/>
        <w:left w:val="none" w:sz="0" w:space="0" w:color="auto"/>
        <w:bottom w:val="none" w:sz="0" w:space="0" w:color="auto"/>
        <w:right w:val="none" w:sz="0" w:space="0" w:color="auto"/>
      </w:divBdr>
    </w:div>
    <w:div w:id="848527113">
      <w:bodyDiv w:val="1"/>
      <w:marLeft w:val="0"/>
      <w:marRight w:val="0"/>
      <w:marTop w:val="0"/>
      <w:marBottom w:val="0"/>
      <w:divBdr>
        <w:top w:val="none" w:sz="0" w:space="0" w:color="auto"/>
        <w:left w:val="none" w:sz="0" w:space="0" w:color="auto"/>
        <w:bottom w:val="none" w:sz="0" w:space="0" w:color="auto"/>
        <w:right w:val="none" w:sz="0" w:space="0" w:color="auto"/>
      </w:divBdr>
    </w:div>
    <w:div w:id="947811398">
      <w:bodyDiv w:val="1"/>
      <w:marLeft w:val="0"/>
      <w:marRight w:val="0"/>
      <w:marTop w:val="0"/>
      <w:marBottom w:val="0"/>
      <w:divBdr>
        <w:top w:val="none" w:sz="0" w:space="0" w:color="auto"/>
        <w:left w:val="none" w:sz="0" w:space="0" w:color="auto"/>
        <w:bottom w:val="none" w:sz="0" w:space="0" w:color="auto"/>
        <w:right w:val="none" w:sz="0" w:space="0" w:color="auto"/>
      </w:divBdr>
    </w:div>
    <w:div w:id="965549933">
      <w:bodyDiv w:val="1"/>
      <w:marLeft w:val="0"/>
      <w:marRight w:val="0"/>
      <w:marTop w:val="0"/>
      <w:marBottom w:val="0"/>
      <w:divBdr>
        <w:top w:val="none" w:sz="0" w:space="0" w:color="auto"/>
        <w:left w:val="none" w:sz="0" w:space="0" w:color="auto"/>
        <w:bottom w:val="none" w:sz="0" w:space="0" w:color="auto"/>
        <w:right w:val="none" w:sz="0" w:space="0" w:color="auto"/>
      </w:divBdr>
    </w:div>
    <w:div w:id="1006664962">
      <w:bodyDiv w:val="1"/>
      <w:marLeft w:val="0"/>
      <w:marRight w:val="0"/>
      <w:marTop w:val="0"/>
      <w:marBottom w:val="0"/>
      <w:divBdr>
        <w:top w:val="none" w:sz="0" w:space="0" w:color="auto"/>
        <w:left w:val="none" w:sz="0" w:space="0" w:color="auto"/>
        <w:bottom w:val="none" w:sz="0" w:space="0" w:color="auto"/>
        <w:right w:val="none" w:sz="0" w:space="0" w:color="auto"/>
      </w:divBdr>
    </w:div>
    <w:div w:id="1022053200">
      <w:bodyDiv w:val="1"/>
      <w:marLeft w:val="0"/>
      <w:marRight w:val="0"/>
      <w:marTop w:val="0"/>
      <w:marBottom w:val="0"/>
      <w:divBdr>
        <w:top w:val="none" w:sz="0" w:space="0" w:color="auto"/>
        <w:left w:val="none" w:sz="0" w:space="0" w:color="auto"/>
        <w:bottom w:val="none" w:sz="0" w:space="0" w:color="auto"/>
        <w:right w:val="none" w:sz="0" w:space="0" w:color="auto"/>
      </w:divBdr>
    </w:div>
    <w:div w:id="1057776406">
      <w:bodyDiv w:val="1"/>
      <w:marLeft w:val="0"/>
      <w:marRight w:val="0"/>
      <w:marTop w:val="0"/>
      <w:marBottom w:val="0"/>
      <w:divBdr>
        <w:top w:val="none" w:sz="0" w:space="0" w:color="auto"/>
        <w:left w:val="none" w:sz="0" w:space="0" w:color="auto"/>
        <w:bottom w:val="none" w:sz="0" w:space="0" w:color="auto"/>
        <w:right w:val="none" w:sz="0" w:space="0" w:color="auto"/>
      </w:divBdr>
    </w:div>
    <w:div w:id="1068384231">
      <w:bodyDiv w:val="1"/>
      <w:marLeft w:val="0"/>
      <w:marRight w:val="0"/>
      <w:marTop w:val="0"/>
      <w:marBottom w:val="0"/>
      <w:divBdr>
        <w:top w:val="none" w:sz="0" w:space="0" w:color="auto"/>
        <w:left w:val="none" w:sz="0" w:space="0" w:color="auto"/>
        <w:bottom w:val="none" w:sz="0" w:space="0" w:color="auto"/>
        <w:right w:val="none" w:sz="0" w:space="0" w:color="auto"/>
      </w:divBdr>
    </w:div>
    <w:div w:id="1099595682">
      <w:bodyDiv w:val="1"/>
      <w:marLeft w:val="0"/>
      <w:marRight w:val="0"/>
      <w:marTop w:val="0"/>
      <w:marBottom w:val="0"/>
      <w:divBdr>
        <w:top w:val="none" w:sz="0" w:space="0" w:color="auto"/>
        <w:left w:val="none" w:sz="0" w:space="0" w:color="auto"/>
        <w:bottom w:val="none" w:sz="0" w:space="0" w:color="auto"/>
        <w:right w:val="none" w:sz="0" w:space="0" w:color="auto"/>
      </w:divBdr>
    </w:div>
    <w:div w:id="1199053449">
      <w:bodyDiv w:val="1"/>
      <w:marLeft w:val="0"/>
      <w:marRight w:val="0"/>
      <w:marTop w:val="0"/>
      <w:marBottom w:val="0"/>
      <w:divBdr>
        <w:top w:val="none" w:sz="0" w:space="0" w:color="auto"/>
        <w:left w:val="none" w:sz="0" w:space="0" w:color="auto"/>
        <w:bottom w:val="none" w:sz="0" w:space="0" w:color="auto"/>
        <w:right w:val="none" w:sz="0" w:space="0" w:color="auto"/>
      </w:divBdr>
    </w:div>
    <w:div w:id="1289699306">
      <w:bodyDiv w:val="1"/>
      <w:marLeft w:val="0"/>
      <w:marRight w:val="0"/>
      <w:marTop w:val="0"/>
      <w:marBottom w:val="0"/>
      <w:divBdr>
        <w:top w:val="none" w:sz="0" w:space="0" w:color="auto"/>
        <w:left w:val="none" w:sz="0" w:space="0" w:color="auto"/>
        <w:bottom w:val="none" w:sz="0" w:space="0" w:color="auto"/>
        <w:right w:val="none" w:sz="0" w:space="0" w:color="auto"/>
      </w:divBdr>
    </w:div>
    <w:div w:id="1387022676">
      <w:bodyDiv w:val="1"/>
      <w:marLeft w:val="0"/>
      <w:marRight w:val="0"/>
      <w:marTop w:val="0"/>
      <w:marBottom w:val="0"/>
      <w:divBdr>
        <w:top w:val="none" w:sz="0" w:space="0" w:color="auto"/>
        <w:left w:val="none" w:sz="0" w:space="0" w:color="auto"/>
        <w:bottom w:val="none" w:sz="0" w:space="0" w:color="auto"/>
        <w:right w:val="none" w:sz="0" w:space="0" w:color="auto"/>
      </w:divBdr>
    </w:div>
    <w:div w:id="1403287087">
      <w:bodyDiv w:val="1"/>
      <w:marLeft w:val="0"/>
      <w:marRight w:val="0"/>
      <w:marTop w:val="0"/>
      <w:marBottom w:val="0"/>
      <w:divBdr>
        <w:top w:val="none" w:sz="0" w:space="0" w:color="auto"/>
        <w:left w:val="none" w:sz="0" w:space="0" w:color="auto"/>
        <w:bottom w:val="none" w:sz="0" w:space="0" w:color="auto"/>
        <w:right w:val="none" w:sz="0" w:space="0" w:color="auto"/>
      </w:divBdr>
    </w:div>
    <w:div w:id="1437017022">
      <w:bodyDiv w:val="1"/>
      <w:marLeft w:val="0"/>
      <w:marRight w:val="0"/>
      <w:marTop w:val="0"/>
      <w:marBottom w:val="0"/>
      <w:divBdr>
        <w:top w:val="none" w:sz="0" w:space="0" w:color="auto"/>
        <w:left w:val="none" w:sz="0" w:space="0" w:color="auto"/>
        <w:bottom w:val="none" w:sz="0" w:space="0" w:color="auto"/>
        <w:right w:val="none" w:sz="0" w:space="0" w:color="auto"/>
      </w:divBdr>
      <w:divsChild>
        <w:div w:id="1920288418">
          <w:marLeft w:val="0"/>
          <w:marRight w:val="0"/>
          <w:marTop w:val="0"/>
          <w:marBottom w:val="0"/>
          <w:divBdr>
            <w:top w:val="none" w:sz="0" w:space="0" w:color="auto"/>
            <w:left w:val="none" w:sz="0" w:space="0" w:color="auto"/>
            <w:bottom w:val="none" w:sz="0" w:space="0" w:color="auto"/>
            <w:right w:val="none" w:sz="0" w:space="0" w:color="auto"/>
          </w:divBdr>
        </w:div>
      </w:divsChild>
    </w:div>
    <w:div w:id="1470127942">
      <w:bodyDiv w:val="1"/>
      <w:marLeft w:val="0"/>
      <w:marRight w:val="0"/>
      <w:marTop w:val="0"/>
      <w:marBottom w:val="0"/>
      <w:divBdr>
        <w:top w:val="none" w:sz="0" w:space="0" w:color="auto"/>
        <w:left w:val="none" w:sz="0" w:space="0" w:color="auto"/>
        <w:bottom w:val="none" w:sz="0" w:space="0" w:color="auto"/>
        <w:right w:val="none" w:sz="0" w:space="0" w:color="auto"/>
      </w:divBdr>
    </w:div>
    <w:div w:id="1592003179">
      <w:bodyDiv w:val="1"/>
      <w:marLeft w:val="0"/>
      <w:marRight w:val="0"/>
      <w:marTop w:val="0"/>
      <w:marBottom w:val="0"/>
      <w:divBdr>
        <w:top w:val="none" w:sz="0" w:space="0" w:color="auto"/>
        <w:left w:val="none" w:sz="0" w:space="0" w:color="auto"/>
        <w:bottom w:val="none" w:sz="0" w:space="0" w:color="auto"/>
        <w:right w:val="none" w:sz="0" w:space="0" w:color="auto"/>
      </w:divBdr>
    </w:div>
    <w:div w:id="1609700260">
      <w:bodyDiv w:val="1"/>
      <w:marLeft w:val="0"/>
      <w:marRight w:val="0"/>
      <w:marTop w:val="0"/>
      <w:marBottom w:val="0"/>
      <w:divBdr>
        <w:top w:val="none" w:sz="0" w:space="0" w:color="auto"/>
        <w:left w:val="none" w:sz="0" w:space="0" w:color="auto"/>
        <w:bottom w:val="none" w:sz="0" w:space="0" w:color="auto"/>
        <w:right w:val="none" w:sz="0" w:space="0" w:color="auto"/>
      </w:divBdr>
    </w:div>
    <w:div w:id="1633905767">
      <w:bodyDiv w:val="1"/>
      <w:marLeft w:val="0"/>
      <w:marRight w:val="0"/>
      <w:marTop w:val="0"/>
      <w:marBottom w:val="0"/>
      <w:divBdr>
        <w:top w:val="none" w:sz="0" w:space="0" w:color="auto"/>
        <w:left w:val="none" w:sz="0" w:space="0" w:color="auto"/>
        <w:bottom w:val="none" w:sz="0" w:space="0" w:color="auto"/>
        <w:right w:val="none" w:sz="0" w:space="0" w:color="auto"/>
      </w:divBdr>
    </w:div>
    <w:div w:id="1715881774">
      <w:bodyDiv w:val="1"/>
      <w:marLeft w:val="0"/>
      <w:marRight w:val="0"/>
      <w:marTop w:val="0"/>
      <w:marBottom w:val="0"/>
      <w:divBdr>
        <w:top w:val="none" w:sz="0" w:space="0" w:color="auto"/>
        <w:left w:val="none" w:sz="0" w:space="0" w:color="auto"/>
        <w:bottom w:val="none" w:sz="0" w:space="0" w:color="auto"/>
        <w:right w:val="none" w:sz="0" w:space="0" w:color="auto"/>
      </w:divBdr>
    </w:div>
    <w:div w:id="1809320992">
      <w:bodyDiv w:val="1"/>
      <w:marLeft w:val="0"/>
      <w:marRight w:val="0"/>
      <w:marTop w:val="0"/>
      <w:marBottom w:val="0"/>
      <w:divBdr>
        <w:top w:val="none" w:sz="0" w:space="0" w:color="auto"/>
        <w:left w:val="none" w:sz="0" w:space="0" w:color="auto"/>
        <w:bottom w:val="none" w:sz="0" w:space="0" w:color="auto"/>
        <w:right w:val="none" w:sz="0" w:space="0" w:color="auto"/>
      </w:divBdr>
    </w:div>
    <w:div w:id="1835492299">
      <w:bodyDiv w:val="1"/>
      <w:marLeft w:val="0"/>
      <w:marRight w:val="0"/>
      <w:marTop w:val="0"/>
      <w:marBottom w:val="0"/>
      <w:divBdr>
        <w:top w:val="none" w:sz="0" w:space="0" w:color="auto"/>
        <w:left w:val="none" w:sz="0" w:space="0" w:color="auto"/>
        <w:bottom w:val="none" w:sz="0" w:space="0" w:color="auto"/>
        <w:right w:val="none" w:sz="0" w:space="0" w:color="auto"/>
      </w:divBdr>
    </w:div>
    <w:div w:id="1895310036">
      <w:bodyDiv w:val="1"/>
      <w:marLeft w:val="0"/>
      <w:marRight w:val="0"/>
      <w:marTop w:val="0"/>
      <w:marBottom w:val="0"/>
      <w:divBdr>
        <w:top w:val="none" w:sz="0" w:space="0" w:color="auto"/>
        <w:left w:val="none" w:sz="0" w:space="0" w:color="auto"/>
        <w:bottom w:val="none" w:sz="0" w:space="0" w:color="auto"/>
        <w:right w:val="none" w:sz="0" w:space="0" w:color="auto"/>
      </w:divBdr>
    </w:div>
    <w:div w:id="1949584555">
      <w:bodyDiv w:val="1"/>
      <w:marLeft w:val="0"/>
      <w:marRight w:val="0"/>
      <w:marTop w:val="0"/>
      <w:marBottom w:val="0"/>
      <w:divBdr>
        <w:top w:val="none" w:sz="0" w:space="0" w:color="auto"/>
        <w:left w:val="none" w:sz="0" w:space="0" w:color="auto"/>
        <w:bottom w:val="none" w:sz="0" w:space="0" w:color="auto"/>
        <w:right w:val="none" w:sz="0" w:space="0" w:color="auto"/>
      </w:divBdr>
    </w:div>
    <w:div w:id="1952392818">
      <w:bodyDiv w:val="1"/>
      <w:marLeft w:val="0"/>
      <w:marRight w:val="0"/>
      <w:marTop w:val="0"/>
      <w:marBottom w:val="0"/>
      <w:divBdr>
        <w:top w:val="none" w:sz="0" w:space="0" w:color="auto"/>
        <w:left w:val="none" w:sz="0" w:space="0" w:color="auto"/>
        <w:bottom w:val="none" w:sz="0" w:space="0" w:color="auto"/>
        <w:right w:val="none" w:sz="0" w:space="0" w:color="auto"/>
      </w:divBdr>
    </w:div>
    <w:div w:id="1977828659">
      <w:bodyDiv w:val="1"/>
      <w:marLeft w:val="0"/>
      <w:marRight w:val="0"/>
      <w:marTop w:val="0"/>
      <w:marBottom w:val="0"/>
      <w:divBdr>
        <w:top w:val="none" w:sz="0" w:space="0" w:color="auto"/>
        <w:left w:val="none" w:sz="0" w:space="0" w:color="auto"/>
        <w:bottom w:val="none" w:sz="0" w:space="0" w:color="auto"/>
        <w:right w:val="none" w:sz="0" w:space="0" w:color="auto"/>
      </w:divBdr>
      <w:divsChild>
        <w:div w:id="935408383">
          <w:marLeft w:val="0"/>
          <w:marRight w:val="0"/>
          <w:marTop w:val="0"/>
          <w:marBottom w:val="0"/>
          <w:divBdr>
            <w:top w:val="none" w:sz="0" w:space="0" w:color="auto"/>
            <w:left w:val="none" w:sz="0" w:space="0" w:color="auto"/>
            <w:bottom w:val="none" w:sz="0" w:space="0" w:color="auto"/>
            <w:right w:val="none" w:sz="0" w:space="0" w:color="auto"/>
          </w:divBdr>
        </w:div>
      </w:divsChild>
    </w:div>
    <w:div w:id="20228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5" Type="http://schemas.openxmlformats.org/officeDocument/2006/relationships/image" Target="media/image9.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8.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7.emf"/><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Office Theme">
  <a:themeElements>
    <a:clrScheme name="RSG (Orange)">
      <a:dk1>
        <a:srgbClr val="53565A"/>
      </a:dk1>
      <a:lt1>
        <a:sysClr val="window" lastClr="FFFFFF"/>
      </a:lt1>
      <a:dk2>
        <a:srgbClr val="ED8B00"/>
      </a:dk2>
      <a:lt2>
        <a:srgbClr val="FFFFFF"/>
      </a:lt2>
      <a:accent1>
        <a:srgbClr val="D9E1E2"/>
      </a:accent1>
      <a:accent2>
        <a:srgbClr val="98A4AE"/>
      </a:accent2>
      <a:accent3>
        <a:srgbClr val="425563"/>
      </a:accent3>
      <a:accent4>
        <a:srgbClr val="EFDBB2"/>
      </a:accent4>
      <a:accent5>
        <a:srgbClr val="ED8B00"/>
      </a:accent5>
      <a:accent6>
        <a:srgbClr val="CF4520"/>
      </a:accent6>
      <a:hlink>
        <a:srgbClr val="53565A"/>
      </a:hlink>
      <a:folHlink>
        <a:srgbClr val="53565A"/>
      </a:folHlink>
    </a:clrScheme>
    <a:fontScheme name="RSG">
      <a:majorFont>
        <a:latin typeface="Gotham Black"/>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CE1D1195537941AA4B5FE4BC4B55FF" ma:contentTypeVersion="14" ma:contentTypeDescription="Create a new document." ma:contentTypeScope="" ma:versionID="d731aa22f9afc51902c82a3517ba0eb1">
  <xsd:schema xmlns:xsd="http://www.w3.org/2001/XMLSchema" xmlns:xs="http://www.w3.org/2001/XMLSchema" xmlns:p="http://schemas.microsoft.com/office/2006/metadata/properties" xmlns:ns2="cbfec91a-13c0-4823-82db-ee7c2d238386" xmlns:ns3="8697c151-afb3-4bd2-8e30-594352ff7790" targetNamespace="http://schemas.microsoft.com/office/2006/metadata/properties" ma:root="true" ma:fieldsID="5636a27312d198a448ac5a1508faa91c" ns2:_="" ns3:_="">
    <xsd:import namespace="cbfec91a-13c0-4823-82db-ee7c2d238386"/>
    <xsd:import namespace="8697c151-afb3-4bd2-8e30-594352ff77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ec91a-13c0-4823-82db-ee7c2d23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7c151-afb3-4bd2-8e30-594352ff77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902A5-47FD-4D75-993E-F229268CCF39}">
  <ds:schemaRefs>
    <ds:schemaRef ds:uri="http://schemas.openxmlformats.org/officeDocument/2006/bibliography"/>
  </ds:schemaRefs>
</ds:datastoreItem>
</file>

<file path=customXml/itemProps2.xml><?xml version="1.0" encoding="utf-8"?>
<ds:datastoreItem xmlns:ds="http://schemas.openxmlformats.org/officeDocument/2006/customXml" ds:itemID="{BE76BF99-4570-4542-85E3-81247BF8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ec91a-13c0-4823-82db-ee7c2d238386"/>
    <ds:schemaRef ds:uri="8697c151-afb3-4bd2-8e30-594352ff7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3F68B-71B3-4C37-90BB-CD3C03F993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6F68B6-11F5-4D13-9D0A-EE26E415A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4172</Words>
  <Characters>27119</Characters>
  <Application>Microsoft Office Word</Application>
  <DocSecurity>4</DocSecurity>
  <Lines>225</Lines>
  <Paragraphs>62</Paragraphs>
  <ScaleCrop>false</ScaleCrop>
  <HeadingPairs>
    <vt:vector size="2" baseType="variant">
      <vt:variant>
        <vt:lpstr>Title</vt:lpstr>
      </vt:variant>
      <vt:variant>
        <vt:i4>1</vt:i4>
      </vt:variant>
    </vt:vector>
  </HeadingPairs>
  <TitlesOfParts>
    <vt:vector size="1" baseType="lpstr">
      <vt:lpstr>FIVE YEAR</vt:lpstr>
    </vt:vector>
  </TitlesOfParts>
  <Company>MNC Technology Solutions</Company>
  <LinksUpToDate>false</LinksUpToDate>
  <CharactersWithSpaces>31229</CharactersWithSpaces>
  <SharedDoc>false</SharedDoc>
  <HLinks>
    <vt:vector size="156" baseType="variant">
      <vt:variant>
        <vt:i4>1900604</vt:i4>
      </vt:variant>
      <vt:variant>
        <vt:i4>146</vt:i4>
      </vt:variant>
      <vt:variant>
        <vt:i4>0</vt:i4>
      </vt:variant>
      <vt:variant>
        <vt:i4>5</vt:i4>
      </vt:variant>
      <vt:variant>
        <vt:lpwstr/>
      </vt:variant>
      <vt:variant>
        <vt:lpwstr>_Toc128060389</vt:lpwstr>
      </vt:variant>
      <vt:variant>
        <vt:i4>1900604</vt:i4>
      </vt:variant>
      <vt:variant>
        <vt:i4>140</vt:i4>
      </vt:variant>
      <vt:variant>
        <vt:i4>0</vt:i4>
      </vt:variant>
      <vt:variant>
        <vt:i4>5</vt:i4>
      </vt:variant>
      <vt:variant>
        <vt:lpwstr/>
      </vt:variant>
      <vt:variant>
        <vt:lpwstr>_Toc128060388</vt:lpwstr>
      </vt:variant>
      <vt:variant>
        <vt:i4>1900604</vt:i4>
      </vt:variant>
      <vt:variant>
        <vt:i4>134</vt:i4>
      </vt:variant>
      <vt:variant>
        <vt:i4>0</vt:i4>
      </vt:variant>
      <vt:variant>
        <vt:i4>5</vt:i4>
      </vt:variant>
      <vt:variant>
        <vt:lpwstr/>
      </vt:variant>
      <vt:variant>
        <vt:lpwstr>_Toc128060387</vt:lpwstr>
      </vt:variant>
      <vt:variant>
        <vt:i4>1900604</vt:i4>
      </vt:variant>
      <vt:variant>
        <vt:i4>128</vt:i4>
      </vt:variant>
      <vt:variant>
        <vt:i4>0</vt:i4>
      </vt:variant>
      <vt:variant>
        <vt:i4>5</vt:i4>
      </vt:variant>
      <vt:variant>
        <vt:lpwstr/>
      </vt:variant>
      <vt:variant>
        <vt:lpwstr>_Toc128060386</vt:lpwstr>
      </vt:variant>
      <vt:variant>
        <vt:i4>1900604</vt:i4>
      </vt:variant>
      <vt:variant>
        <vt:i4>122</vt:i4>
      </vt:variant>
      <vt:variant>
        <vt:i4>0</vt:i4>
      </vt:variant>
      <vt:variant>
        <vt:i4>5</vt:i4>
      </vt:variant>
      <vt:variant>
        <vt:lpwstr/>
      </vt:variant>
      <vt:variant>
        <vt:lpwstr>_Toc128060385</vt:lpwstr>
      </vt:variant>
      <vt:variant>
        <vt:i4>1900604</vt:i4>
      </vt:variant>
      <vt:variant>
        <vt:i4>116</vt:i4>
      </vt:variant>
      <vt:variant>
        <vt:i4>0</vt:i4>
      </vt:variant>
      <vt:variant>
        <vt:i4>5</vt:i4>
      </vt:variant>
      <vt:variant>
        <vt:lpwstr/>
      </vt:variant>
      <vt:variant>
        <vt:lpwstr>_Toc128060384</vt:lpwstr>
      </vt:variant>
      <vt:variant>
        <vt:i4>1900604</vt:i4>
      </vt:variant>
      <vt:variant>
        <vt:i4>110</vt:i4>
      </vt:variant>
      <vt:variant>
        <vt:i4>0</vt:i4>
      </vt:variant>
      <vt:variant>
        <vt:i4>5</vt:i4>
      </vt:variant>
      <vt:variant>
        <vt:lpwstr/>
      </vt:variant>
      <vt:variant>
        <vt:lpwstr>_Toc128060383</vt:lpwstr>
      </vt:variant>
      <vt:variant>
        <vt:i4>1900604</vt:i4>
      </vt:variant>
      <vt:variant>
        <vt:i4>104</vt:i4>
      </vt:variant>
      <vt:variant>
        <vt:i4>0</vt:i4>
      </vt:variant>
      <vt:variant>
        <vt:i4>5</vt:i4>
      </vt:variant>
      <vt:variant>
        <vt:lpwstr/>
      </vt:variant>
      <vt:variant>
        <vt:lpwstr>_Toc128060382</vt:lpwstr>
      </vt:variant>
      <vt:variant>
        <vt:i4>1900604</vt:i4>
      </vt:variant>
      <vt:variant>
        <vt:i4>98</vt:i4>
      </vt:variant>
      <vt:variant>
        <vt:i4>0</vt:i4>
      </vt:variant>
      <vt:variant>
        <vt:i4>5</vt:i4>
      </vt:variant>
      <vt:variant>
        <vt:lpwstr/>
      </vt:variant>
      <vt:variant>
        <vt:lpwstr>_Toc128060381</vt:lpwstr>
      </vt:variant>
      <vt:variant>
        <vt:i4>1900604</vt:i4>
      </vt:variant>
      <vt:variant>
        <vt:i4>92</vt:i4>
      </vt:variant>
      <vt:variant>
        <vt:i4>0</vt:i4>
      </vt:variant>
      <vt:variant>
        <vt:i4>5</vt:i4>
      </vt:variant>
      <vt:variant>
        <vt:lpwstr/>
      </vt:variant>
      <vt:variant>
        <vt:lpwstr>_Toc128060380</vt:lpwstr>
      </vt:variant>
      <vt:variant>
        <vt:i4>1179708</vt:i4>
      </vt:variant>
      <vt:variant>
        <vt:i4>86</vt:i4>
      </vt:variant>
      <vt:variant>
        <vt:i4>0</vt:i4>
      </vt:variant>
      <vt:variant>
        <vt:i4>5</vt:i4>
      </vt:variant>
      <vt:variant>
        <vt:lpwstr/>
      </vt:variant>
      <vt:variant>
        <vt:lpwstr>_Toc128060379</vt:lpwstr>
      </vt:variant>
      <vt:variant>
        <vt:i4>1179708</vt:i4>
      </vt:variant>
      <vt:variant>
        <vt:i4>80</vt:i4>
      </vt:variant>
      <vt:variant>
        <vt:i4>0</vt:i4>
      </vt:variant>
      <vt:variant>
        <vt:i4>5</vt:i4>
      </vt:variant>
      <vt:variant>
        <vt:lpwstr/>
      </vt:variant>
      <vt:variant>
        <vt:lpwstr>_Toc128060378</vt:lpwstr>
      </vt:variant>
      <vt:variant>
        <vt:i4>1179708</vt:i4>
      </vt:variant>
      <vt:variant>
        <vt:i4>74</vt:i4>
      </vt:variant>
      <vt:variant>
        <vt:i4>0</vt:i4>
      </vt:variant>
      <vt:variant>
        <vt:i4>5</vt:i4>
      </vt:variant>
      <vt:variant>
        <vt:lpwstr/>
      </vt:variant>
      <vt:variant>
        <vt:lpwstr>_Toc128060377</vt:lpwstr>
      </vt:variant>
      <vt:variant>
        <vt:i4>1179708</vt:i4>
      </vt:variant>
      <vt:variant>
        <vt:i4>68</vt:i4>
      </vt:variant>
      <vt:variant>
        <vt:i4>0</vt:i4>
      </vt:variant>
      <vt:variant>
        <vt:i4>5</vt:i4>
      </vt:variant>
      <vt:variant>
        <vt:lpwstr/>
      </vt:variant>
      <vt:variant>
        <vt:lpwstr>_Toc128060376</vt:lpwstr>
      </vt:variant>
      <vt:variant>
        <vt:i4>1179708</vt:i4>
      </vt:variant>
      <vt:variant>
        <vt:i4>62</vt:i4>
      </vt:variant>
      <vt:variant>
        <vt:i4>0</vt:i4>
      </vt:variant>
      <vt:variant>
        <vt:i4>5</vt:i4>
      </vt:variant>
      <vt:variant>
        <vt:lpwstr/>
      </vt:variant>
      <vt:variant>
        <vt:lpwstr>_Toc128060375</vt:lpwstr>
      </vt:variant>
      <vt:variant>
        <vt:i4>1179708</vt:i4>
      </vt:variant>
      <vt:variant>
        <vt:i4>56</vt:i4>
      </vt:variant>
      <vt:variant>
        <vt:i4>0</vt:i4>
      </vt:variant>
      <vt:variant>
        <vt:i4>5</vt:i4>
      </vt:variant>
      <vt:variant>
        <vt:lpwstr/>
      </vt:variant>
      <vt:variant>
        <vt:lpwstr>_Toc128060374</vt:lpwstr>
      </vt:variant>
      <vt:variant>
        <vt:i4>1179708</vt:i4>
      </vt:variant>
      <vt:variant>
        <vt:i4>50</vt:i4>
      </vt:variant>
      <vt:variant>
        <vt:i4>0</vt:i4>
      </vt:variant>
      <vt:variant>
        <vt:i4>5</vt:i4>
      </vt:variant>
      <vt:variant>
        <vt:lpwstr/>
      </vt:variant>
      <vt:variant>
        <vt:lpwstr>_Toc128060373</vt:lpwstr>
      </vt:variant>
      <vt:variant>
        <vt:i4>1179708</vt:i4>
      </vt:variant>
      <vt:variant>
        <vt:i4>44</vt:i4>
      </vt:variant>
      <vt:variant>
        <vt:i4>0</vt:i4>
      </vt:variant>
      <vt:variant>
        <vt:i4>5</vt:i4>
      </vt:variant>
      <vt:variant>
        <vt:lpwstr/>
      </vt:variant>
      <vt:variant>
        <vt:lpwstr>_Toc128060372</vt:lpwstr>
      </vt:variant>
      <vt:variant>
        <vt:i4>1179708</vt:i4>
      </vt:variant>
      <vt:variant>
        <vt:i4>38</vt:i4>
      </vt:variant>
      <vt:variant>
        <vt:i4>0</vt:i4>
      </vt:variant>
      <vt:variant>
        <vt:i4>5</vt:i4>
      </vt:variant>
      <vt:variant>
        <vt:lpwstr/>
      </vt:variant>
      <vt:variant>
        <vt:lpwstr>_Toc128060371</vt:lpwstr>
      </vt:variant>
      <vt:variant>
        <vt:i4>1179708</vt:i4>
      </vt:variant>
      <vt:variant>
        <vt:i4>32</vt:i4>
      </vt:variant>
      <vt:variant>
        <vt:i4>0</vt:i4>
      </vt:variant>
      <vt:variant>
        <vt:i4>5</vt:i4>
      </vt:variant>
      <vt:variant>
        <vt:lpwstr/>
      </vt:variant>
      <vt:variant>
        <vt:lpwstr>_Toc128060370</vt:lpwstr>
      </vt:variant>
      <vt:variant>
        <vt:i4>1245244</vt:i4>
      </vt:variant>
      <vt:variant>
        <vt:i4>26</vt:i4>
      </vt:variant>
      <vt:variant>
        <vt:i4>0</vt:i4>
      </vt:variant>
      <vt:variant>
        <vt:i4>5</vt:i4>
      </vt:variant>
      <vt:variant>
        <vt:lpwstr/>
      </vt:variant>
      <vt:variant>
        <vt:lpwstr>_Toc128060369</vt:lpwstr>
      </vt:variant>
      <vt:variant>
        <vt:i4>1245244</vt:i4>
      </vt:variant>
      <vt:variant>
        <vt:i4>20</vt:i4>
      </vt:variant>
      <vt:variant>
        <vt:i4>0</vt:i4>
      </vt:variant>
      <vt:variant>
        <vt:i4>5</vt:i4>
      </vt:variant>
      <vt:variant>
        <vt:lpwstr/>
      </vt:variant>
      <vt:variant>
        <vt:lpwstr>_Toc128060368</vt:lpwstr>
      </vt:variant>
      <vt:variant>
        <vt:i4>1245244</vt:i4>
      </vt:variant>
      <vt:variant>
        <vt:i4>14</vt:i4>
      </vt:variant>
      <vt:variant>
        <vt:i4>0</vt:i4>
      </vt:variant>
      <vt:variant>
        <vt:i4>5</vt:i4>
      </vt:variant>
      <vt:variant>
        <vt:lpwstr/>
      </vt:variant>
      <vt:variant>
        <vt:lpwstr>_Toc128060367</vt:lpwstr>
      </vt:variant>
      <vt:variant>
        <vt:i4>1245244</vt:i4>
      </vt:variant>
      <vt:variant>
        <vt:i4>8</vt:i4>
      </vt:variant>
      <vt:variant>
        <vt:i4>0</vt:i4>
      </vt:variant>
      <vt:variant>
        <vt:i4>5</vt:i4>
      </vt:variant>
      <vt:variant>
        <vt:lpwstr/>
      </vt:variant>
      <vt:variant>
        <vt:lpwstr>_Toc128060366</vt:lpwstr>
      </vt:variant>
      <vt:variant>
        <vt:i4>1245244</vt:i4>
      </vt:variant>
      <vt:variant>
        <vt:i4>2</vt:i4>
      </vt:variant>
      <vt:variant>
        <vt:i4>0</vt:i4>
      </vt:variant>
      <vt:variant>
        <vt:i4>5</vt:i4>
      </vt:variant>
      <vt:variant>
        <vt:lpwstr/>
      </vt:variant>
      <vt:variant>
        <vt:lpwstr>_Toc128060365</vt:lpwstr>
      </vt:variant>
      <vt:variant>
        <vt:i4>5374068</vt:i4>
      </vt:variant>
      <vt:variant>
        <vt:i4>0</vt:i4>
      </vt:variant>
      <vt:variant>
        <vt:i4>0</vt:i4>
      </vt:variant>
      <vt:variant>
        <vt:i4>5</vt:i4>
      </vt:variant>
      <vt:variant>
        <vt:lpwstr>mailto:rromero@webrsg.com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YEAR</dc:title>
  <dc:subject/>
  <dc:creator>DGilbert</dc:creator>
  <cp:keywords/>
  <cp:lastModifiedBy>Kaitlyn Lorson</cp:lastModifiedBy>
  <cp:revision>2</cp:revision>
  <cp:lastPrinted>2022-03-01T15:52:00Z</cp:lastPrinted>
  <dcterms:created xsi:type="dcterms:W3CDTF">2024-03-25T15:23:00Z</dcterms:created>
  <dcterms:modified xsi:type="dcterms:W3CDTF">2024-03-25T15:23:00Z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0x01010013CE1D1195537941AA4B5FE4BC4B55FF</vt:lpwstr>
  </property>
</Properties>
</file>